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mwl-20260708.htm"/>
      <w:bookmarkStart w:id="1" w:name="ksamwl202607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American Well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001-39515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20-5009396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75 State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02109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204-3500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85" w:type="dxa"/>
        <w:jc w:val="left"/>
        <w:tblInd w:w="0" w:type="dxa"/>
        <w:tblLayout w:type="fixed"/>
        <w:tblCellMar>
          <w:top w:w="28" w:type="dxa"/>
          <w:left w:w="28" w:type="dxa"/>
          <w:bottom w:w="28" w:type="dxa"/>
          <w:right w:w="28" w:type="dxa"/>
        </w:tblCellMar>
      </w:tblPr>
      <w:tblGrid>
        <w:gridCol w:w="3421"/>
        <w:gridCol w:w="146"/>
        <w:gridCol w:w="946"/>
        <w:gridCol w:w="146"/>
        <w:gridCol w:w="382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AMWL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242424"/>
          <w:sz w:val="20"/>
        </w:rPr>
      </w:pPr>
      <w:r>
        <w:rPr>
          <w:rFonts w:ascii="Times New Roman" w:hAnsi="Times New Roman"/>
          <w:color w:val="242424"/>
          <w:sz w:val="20"/>
        </w:rPr>
        <w:t>On July 11, 2026 Stephen Schlegel was re-appointed by American Well Corporation's (the “Company’s”) Board of Directors (the "Board") as a Class III director for a term expiring at the Company's 2029 annual meeting of stockholders. Shortly prior to his reappointment, on July 8, 2026, he had resigned as a Class II director for purposes of being reappointed as a Class III director. Mr. Schlegel's resignation and reappointment were effected solely to rebalance the classes of the Board and not because of any disagreement with the Company on any matter relating to the Company's operations, policies or practices.</w:t>
      </w:r>
    </w:p>
    <w:p>
      <w:pPr>
        <w:pStyle w:val="TextBody"/>
        <w:bidi w:val="0"/>
        <w:jc w:val="left"/>
        <w:rPr/>
      </w:pPr>
      <w:r>
        <w:rPr/>
        <w:t> </w:t>
      </w:r>
    </w:p>
    <w:p>
      <w:pPr>
        <w:pStyle w:val="TextBody"/>
        <w:bidi w:val="0"/>
        <w:jc w:val="left"/>
        <w:rPr>
          <w:rFonts w:ascii="Times New Roman" w:hAnsi="Times New Roman"/>
          <w:color w:val="242424"/>
          <w:sz w:val="20"/>
        </w:rPr>
      </w:pPr>
      <w:r>
        <w:rPr>
          <w:rFonts w:ascii="Times New Roman" w:hAnsi="Times New Roman"/>
          <w:color w:val="242424"/>
          <w:sz w:val="20"/>
        </w:rPr>
        <w:t>As a result of directors who did not stand for re-election, the three classes of the Board were no longer similar sized, as required by the NYSE listing standards. The reclassification of Mr. Schlegel restores the classes to approximately equal size.</w:t>
      </w:r>
    </w:p>
    <w:p>
      <w:pPr>
        <w:pStyle w:val="TextBody"/>
        <w:bidi w:val="0"/>
        <w:jc w:val="left"/>
        <w:rPr/>
      </w:pPr>
      <w:r>
        <w:rPr/>
        <w:t> </w:t>
      </w:r>
    </w:p>
    <w:p>
      <w:pPr>
        <w:pStyle w:val="TextBody"/>
        <w:bidi w:val="0"/>
        <w:jc w:val="left"/>
        <w:rPr>
          <w:rFonts w:ascii="Times New Roman" w:hAnsi="Times New Roman"/>
          <w:color w:val="242424"/>
          <w:sz w:val="20"/>
        </w:rPr>
      </w:pPr>
      <w:r>
        <w:rPr>
          <w:rFonts w:ascii="Times New Roman" w:hAnsi="Times New Roman"/>
          <w:color w:val="242424"/>
          <w:sz w:val="20"/>
        </w:rPr>
        <w:t>Mr. Schlegel's committee assignments and compensatory arrangements were not changed in connection with his reappointment. Information regarding Mr. Schlegel's background, compensation arrangements, committee memberships and transactions with the Company is set forth in the Company's definitive proxy statement on Schedule 14A filed with the Securities and Exchange Commission on April 24, 2026.</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99" w:type="dxa"/>
        <w:jc w:val="left"/>
        <w:tblInd w:w="0" w:type="dxa"/>
        <w:tblLayout w:type="fixed"/>
        <w:tblCellMar>
          <w:top w:w="28" w:type="dxa"/>
          <w:left w:w="28" w:type="dxa"/>
          <w:bottom w:w="28" w:type="dxa"/>
          <w:right w:w="28" w:type="dxa"/>
        </w:tblCellMar>
      </w:tblPr>
      <w:tblGrid>
        <w:gridCol w:w="556"/>
        <w:gridCol w:w="1216"/>
        <w:gridCol w:w="451"/>
        <w:gridCol w:w="337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AMERICAN WELL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Anna Nesterova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Anna Nesterova</w:t>
              <w:br/>
              <w:t>Deputy General Counsel, Head of Legal</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560</Words>
  <Characters>3137</Characters>
  <CharactersWithSpaces>3691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