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mwl-20260714.htm"/>
      <w:bookmarkStart w:id="1" w:name="ksamwl2026071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14,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American Well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001-39515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20-5009396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75 State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 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02109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204-3500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85" w:type="dxa"/>
        <w:jc w:val="left"/>
        <w:tblInd w:w="0" w:type="dxa"/>
        <w:tblLayout w:type="fixed"/>
        <w:tblCellMar>
          <w:top w:w="28" w:type="dxa"/>
          <w:left w:w="28" w:type="dxa"/>
          <w:bottom w:w="28" w:type="dxa"/>
          <w:right w:w="28" w:type="dxa"/>
        </w:tblCellMar>
      </w:tblPr>
      <w:tblGrid>
        <w:gridCol w:w="3421"/>
        <w:gridCol w:w="146"/>
        <w:gridCol w:w="946"/>
        <w:gridCol w:w="146"/>
        <w:gridCol w:w="3826"/>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AMWL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4.01 Changes in Registrant’s Certifying Accountant.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 July 14, 2026, the Audit Committee of the board of directors of American Well Corporation (the “Company”) dismissed PricewaterhouseCoopers LLP (the “Former Auditor”) as the Company’s independent registered public accounting firm.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Former Auditor’s reports on the Company’s financial statements for the two most recent fiscal year ended December 31, 2025 and 2024 did not contain any adverse opinion or disclaimer of opinion and were not qualified or modified as to uncertainty, audit scope or accounting principles.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During the two most recent fiscal year ended December 31, 2025 and 2024 and the subsequent interim period through July 14, 2026, (i) there were no “disagreements” (within the meaning of Item 304(a)(1)(iv) of Regulation S-K) between the Company and the Former Auditor on any matter of accounting principles or practices, financial statement disclosure or auditing scope or procedure, which disagreements, if not resolved to the satisfaction of the Former Auditor, would have caused the Former Auditor to make reference to the subject matter of the disagreement in their reports, and (ii) there were no “reportable events” (within the meaning of Item 304(a)(1)(v) of Regulation S-K).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provided the Former Auditor with a copy of the disclosures that we are making in this paragraph and have requested that the Former Auditor furnish a letter addressed to the SEC stating whether or not it agrees with the statements made in this paragraph, a copy of which letter is filed as Exhibit 16.1 to this Current Report on Form 8-K.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July 14, 2026, the Audit Committee appointed BDO USA, P.C. (the “New Auditor”) as the Company’s new independent registered public accounting firm. During the two most recent fiscal years ended December 31, 2025 and 2024 and the subsequent interim period through July 14, 2026, neither the Company nor anyone acting on the Company’s behalf has consulted with the New Auditor with respect to (i) the application of accounting principles to a specified transaction, either completed or proposed, or the type of audit opinion that might be rendered on the Company’s financial statements, and neither a written report nor oral advice was provided to the Company that the New Auditor concluded was an important factor considered by the Company in reaching a decision as to any accounting, auditing or financial reporting issue or (ii) any matter that was the subject of either a “disagreement” or a “reportable event” within the meaning of Item 304(a)(1) of Regulation S-K.</w:t>
      </w:r>
    </w:p>
    <w:p>
      <w:pPr>
        <w:pStyle w:val="TextBody"/>
        <w:bidi w:val="0"/>
        <w:spacing w:before="20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Exhibits</w:t>
      </w:r>
      <w:r>
        <w:rPr>
          <w:rFonts w:ascii="Times New Roman" w:hAnsi="Times New Roman"/>
          <w:color w:val="000000"/>
          <w:sz w:val="20"/>
        </w:rPr>
        <w:t xml:space="preserve">. The following exhibit is being filed herewith: </w:t>
      </w:r>
    </w:p>
    <w:p>
      <w:pPr>
        <w:pStyle w:val="TextBody"/>
        <w:bidi w:val="0"/>
        <w:jc w:val="left"/>
        <w:rPr/>
      </w:pPr>
      <w:r>
        <w:rPr/>
        <w:t> </w:t>
      </w:r>
    </w:p>
    <w:tbl>
      <w:tblPr>
        <w:tblW w:w="9418" w:type="dxa"/>
        <w:jc w:val="left"/>
        <w:tblInd w:w="0" w:type="dxa"/>
        <w:tblLayout w:type="fixed"/>
        <w:tblCellMar>
          <w:top w:w="28" w:type="dxa"/>
          <w:left w:w="28" w:type="dxa"/>
          <w:bottom w:w="28" w:type="dxa"/>
          <w:right w:w="28" w:type="dxa"/>
        </w:tblCellMar>
      </w:tblPr>
      <w:tblGrid>
        <w:gridCol w:w="481"/>
        <w:gridCol w:w="146"/>
        <w:gridCol w:w="879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9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91" w:type="dxa"/>
            <w:tcBorders/>
            <w:tcMar>
              <w:top w:w="0" w:type="dxa"/>
              <w:left w:w="0" w:type="dxa"/>
              <w:bottom w:w="0" w:type="dxa"/>
              <w:right w:w="0" w:type="dxa"/>
            </w:tcMar>
            <w:vAlign w:val="center"/>
          </w:tcPr>
          <w:p>
            <w:pPr>
              <w:pStyle w:val="TableContents"/>
              <w:bidi w:val="0"/>
              <w:spacing w:before="0" w:after="283"/>
              <w:jc w:val="left"/>
              <w:rPr/>
            </w:pPr>
            <w:hyperlink w:anchor="amwl-ex16_1.htm">
              <w:r>
                <w:rPr>
                  <w:rStyle w:val="InternetLink"/>
                  <w:rFonts w:ascii="Times New Roman" w:hAnsi="Times New Roman"/>
                  <w:color w:val="0000FF"/>
                  <w:sz w:val="20"/>
                  <w:u w:val="single"/>
                </w:rPr>
                <w:t>Letter from PricewaterhouseCoopers LLP to the Securities and Exchange Commission, dated July 20,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599" w:type="dxa"/>
        <w:jc w:val="left"/>
        <w:tblInd w:w="0" w:type="dxa"/>
        <w:tblLayout w:type="fixed"/>
        <w:tblCellMar>
          <w:top w:w="28" w:type="dxa"/>
          <w:left w:w="28" w:type="dxa"/>
          <w:bottom w:w="28" w:type="dxa"/>
          <w:right w:w="28" w:type="dxa"/>
        </w:tblCellMar>
      </w:tblPr>
      <w:tblGrid>
        <w:gridCol w:w="556"/>
        <w:gridCol w:w="1216"/>
        <w:gridCol w:w="451"/>
        <w:gridCol w:w="337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AMERICAN WELL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20,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7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Anna Nesterova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Anna Nesterova</w:t>
              <w:br/>
              <w:t>Deputy General Counsel, Head of Legal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amwl-ex16_1.htm"/>
      <w:bookmarkStart w:id="3" w:name="ksamwlex16_1"/>
      <w:bookmarkEnd w:id="2"/>
      <w:bookmarkEnd w:id="3"/>
      <w:r>
        <w:rPr>
          <w:rFonts w:ascii="Times New Roman" w:hAnsi="Times New Roman"/>
          <w:b/>
          <w:color w:val="000000"/>
          <w:sz w:val="20"/>
        </w:rPr>
        <w:t>Exhibit 16.1</w:t>
      </w:r>
      <w:r>
        <w:br w:type="page"/>
      </w:r>
    </w:p>
    <w:p>
      <w:pPr>
        <w:pStyle w:val="TextBody"/>
        <w:bidi w:val="0"/>
        <w:jc w:val="left"/>
        <w:rPr/>
      </w:pPr>
      <w:r>
        <w:rPr/>
        <w:t> </w:t>
      </w:r>
    </w:p>
    <w:p>
      <w:pPr>
        <w:pStyle w:val="TextBody"/>
        <w:bidi w:val="0"/>
        <w:spacing w:before="8" w:after="283"/>
        <w:jc w:val="left"/>
        <w:rPr/>
      </w:pPr>
      <w:r>
        <w:rPr/>
        <w:t> </w:t>
      </w:r>
    </w:p>
    <w:p>
      <w:pPr>
        <w:pStyle w:val="TextBody"/>
        <w:bidi w:val="0"/>
        <w:spacing w:before="8" w:after="283"/>
        <w:jc w:val="left"/>
        <w:rPr/>
      </w:pPr>
      <w:r>
        <w:rPr/>
        <w:drawing>
          <wp:inline distT="0" distB="0" distL="0" distR="0">
            <wp:extent cx="58102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1025" cy="142875"/>
                    </a:xfrm>
                    <a:prstGeom prst="rect">
                      <a:avLst/>
                    </a:prstGeom>
                  </pic:spPr>
                </pic:pic>
              </a:graphicData>
            </a:graphic>
          </wp:inline>
        </w:drawing>
      </w:r>
    </w:p>
    <w:p>
      <w:pPr>
        <w:pStyle w:val="TextBody"/>
        <w:bidi w:val="0"/>
        <w:spacing w:before="8" w:after="283"/>
        <w:jc w:val="left"/>
        <w:rPr>
          <w:rFonts w:ascii="Times New Roman" w:hAnsi="Times New Roman"/>
          <w:sz w:val="20"/>
        </w:rPr>
      </w:pPr>
      <w:r>
        <w:rPr>
          <w:rFonts w:ascii="Times New Roman" w:hAnsi="Times New Roman"/>
          <w:color w:val="000000"/>
          <w:sz w:val="20"/>
        </w:rPr>
        <w:br/>
      </w:r>
      <w:r>
        <w:rPr>
          <w:rFonts w:ascii="Times New Roman" w:hAnsi="Times New Roman"/>
          <w:sz w:val="20"/>
        </w:rPr>
        <w:drawing>
          <wp:inline distT="0" distB="0" distL="0" distR="0">
            <wp:extent cx="914400"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 cy="3429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spacing w:before="146" w:after="283"/>
        <w:jc w:val="left"/>
        <w:rPr/>
      </w:pPr>
      <w:r>
        <w:rPr/>
        <w:t> </w:t>
      </w:r>
    </w:p>
    <w:p>
      <w:pPr>
        <w:pStyle w:val="TextBody"/>
        <w:bidi w:val="0"/>
        <w:jc w:val="left"/>
        <w:rPr>
          <w:rFonts w:ascii="Georgia;serif" w:hAnsi="Georgia;serif"/>
          <w:color w:val="000000"/>
          <w:sz w:val="20"/>
        </w:rPr>
      </w:pPr>
      <w:r>
        <w:rPr>
          <w:rFonts w:ascii="Georgia;serif" w:hAnsi="Georgia;serif"/>
          <w:color w:val="000000"/>
          <w:sz w:val="20"/>
        </w:rPr>
        <w:t>July 20, 2026</w:t>
      </w:r>
    </w:p>
    <w:p>
      <w:pPr>
        <w:pStyle w:val="TextBody"/>
        <w:bidi w:val="0"/>
        <w:jc w:val="left"/>
        <w:rPr/>
      </w:pPr>
      <w:r>
        <w:rPr/>
        <w:t> </w:t>
      </w:r>
    </w:p>
    <w:p>
      <w:pPr>
        <w:pStyle w:val="TextBody"/>
        <w:bidi w:val="0"/>
        <w:spacing w:before="1" w:after="283"/>
        <w:jc w:val="left"/>
        <w:rPr>
          <w:rFonts w:ascii="Georgia;serif" w:hAnsi="Georgia;serif"/>
          <w:color w:val="000000"/>
          <w:sz w:val="20"/>
        </w:rPr>
      </w:pPr>
      <w:r>
        <w:rPr>
          <w:rFonts w:ascii="Georgia;serif" w:hAnsi="Georgia;serif"/>
          <w:color w:val="000000"/>
          <w:sz w:val="20"/>
        </w:rPr>
        <w:t>Securities and Exchange Commission 100 F Street, N.E.</w:t>
      </w:r>
    </w:p>
    <w:p>
      <w:pPr>
        <w:pStyle w:val="TextBody"/>
        <w:bidi w:val="0"/>
        <w:jc w:val="left"/>
        <w:rPr>
          <w:rFonts w:ascii="Georgia;serif" w:hAnsi="Georgia;serif"/>
          <w:color w:val="000000"/>
          <w:sz w:val="20"/>
        </w:rPr>
      </w:pPr>
      <w:r>
        <w:rPr>
          <w:rFonts w:ascii="Georgia;serif" w:hAnsi="Georgia;serif"/>
          <w:color w:val="000000"/>
          <w:sz w:val="20"/>
        </w:rPr>
        <w:t>Washington, DC 20549 Commissioners:</w:t>
      </w:r>
    </w:p>
    <w:p>
      <w:pPr>
        <w:pStyle w:val="TextBody"/>
        <w:bidi w:val="0"/>
        <w:jc w:val="left"/>
        <w:rPr>
          <w:rFonts w:ascii="Georgia;serif" w:hAnsi="Georgia;serif"/>
          <w:color w:val="000000"/>
          <w:sz w:val="20"/>
        </w:rPr>
      </w:pPr>
      <w:r>
        <w:rPr>
          <w:rFonts w:ascii="Georgia;serif" w:hAnsi="Georgia;serif"/>
          <w:color w:val="000000"/>
          <w:sz w:val="20"/>
        </w:rPr>
        <w:t>We have read the statements made by American Well Corporation (copy attached), which we understand will be filed with the Securities and Exchange Commission, pursuant to Item 4.01 of Form 8-K of American Well Corporation dated July 14, 2026. We agree with the statements concerning our Firm contained therein.</w:t>
      </w:r>
    </w:p>
    <w:p>
      <w:pPr>
        <w:pStyle w:val="TextBody"/>
        <w:bidi w:val="0"/>
        <w:jc w:val="left"/>
        <w:rPr/>
      </w:pPr>
      <w:r>
        <w:rPr/>
        <w:t> </w:t>
      </w:r>
    </w:p>
    <w:p>
      <w:pPr>
        <w:pStyle w:val="TextBody"/>
        <w:bidi w:val="0"/>
        <w:jc w:val="left"/>
        <w:rPr>
          <w:rFonts w:ascii="Georgia;serif" w:hAnsi="Georgia;serif"/>
          <w:color w:val="000000"/>
          <w:sz w:val="20"/>
        </w:rPr>
      </w:pPr>
      <w:r>
        <w:rPr>
          <w:rFonts w:ascii="Georgia;serif" w:hAnsi="Georgia;serif"/>
          <w:color w:val="000000"/>
          <w:sz w:val="20"/>
        </w:rPr>
        <w:t>Very truly yours,</w:t>
      </w:r>
    </w:p>
    <w:p>
      <w:pPr>
        <w:pStyle w:val="TextBody"/>
        <w:bidi w:val="0"/>
        <w:jc w:val="left"/>
        <w:rPr/>
      </w:pPr>
      <w:r>
        <w:rPr/>
        <w:t> </w:t>
      </w:r>
    </w:p>
    <w:p>
      <w:pPr>
        <w:pStyle w:val="TextBody"/>
        <w:bidi w:val="0"/>
        <w:jc w:val="left"/>
        <w:rPr/>
      </w:pPr>
      <w:r>
        <w:rPr/>
        <w:t> </w:t>
      </w:r>
    </w:p>
    <w:p>
      <w:pPr>
        <w:pStyle w:val="TextBody"/>
        <w:bidi w:val="0"/>
        <w:spacing w:before="1" w:after="283"/>
        <w:jc w:val="left"/>
        <w:rPr/>
      </w:pPr>
      <w:r>
        <w:rPr/>
        <w:t> </w:t>
      </w:r>
    </w:p>
    <w:p>
      <w:pPr>
        <w:pStyle w:val="TextBody"/>
        <w:bidi w:val="0"/>
        <w:jc w:val="left"/>
        <w:rPr>
          <w:rFonts w:ascii="Georgia;serif" w:hAnsi="Georgia;serif"/>
          <w:color w:val="000000"/>
          <w:sz w:val="20"/>
        </w:rPr>
      </w:pPr>
      <w:r>
        <w:rPr>
          <w:rFonts w:ascii="Georgia;serif" w:hAnsi="Georgia;serif"/>
          <w:color w:val="000000"/>
          <w:sz w:val="20"/>
        </w:rPr>
        <w:t>/s/ PricewaterhouseCoopers LLP Boston, Massachusetts</w:t>
      </w:r>
    </w:p>
    <w:p>
      <w:pPr>
        <w:pStyle w:val="TextBody"/>
        <w:bidi w:val="0"/>
        <w:spacing w:before="227"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76" w:after="283"/>
        <w:jc w:val="left"/>
        <w:rPr/>
      </w:pPr>
      <w:r>
        <w:rPr/>
        <w:t> </w:t>
      </w:r>
    </w:p>
    <w:p>
      <w:pPr>
        <w:pStyle w:val="TextBody"/>
        <w:bidi w:val="0"/>
        <w:jc w:val="left"/>
        <w:rPr>
          <w:rFonts w:ascii="Georgia;serif" w:hAnsi="Georgia;serif"/>
          <w:color w:val="000000"/>
          <w:sz w:val="18"/>
        </w:rPr>
      </w:pPr>
      <w:r>
        <w:rPr>
          <w:rFonts w:ascii="Georgia;serif" w:hAnsi="Georgia;serif"/>
          <w:color w:val="000000"/>
          <w:sz w:val="18"/>
        </w:rPr>
        <w:t>PricewaterhouseCoopers LLP</w:t>
      </w:r>
    </w:p>
    <w:p>
      <w:pPr>
        <w:pStyle w:val="TextBody"/>
        <w:bidi w:val="0"/>
        <w:jc w:val="left"/>
        <w:rPr>
          <w:rFonts w:ascii="Georgia;serif" w:hAnsi="Georgia;serif"/>
          <w:color w:val="000000"/>
          <w:sz w:val="18"/>
        </w:rPr>
      </w:pPr>
      <w:r>
        <w:rPr>
          <w:rFonts w:ascii="Georgia;serif" w:hAnsi="Georgia;serif"/>
          <w:color w:val="000000"/>
          <w:sz w:val="18"/>
        </w:rPr>
        <w:t>101 Seaport Boulevard, Suite 500</w:t>
      </w:r>
    </w:p>
    <w:p>
      <w:pPr>
        <w:pStyle w:val="TextBody"/>
        <w:bidi w:val="0"/>
        <w:jc w:val="left"/>
        <w:rPr>
          <w:rFonts w:ascii="Georgia;serif" w:hAnsi="Georgia;serif"/>
          <w:color w:val="000000"/>
          <w:sz w:val="18"/>
        </w:rPr>
      </w:pPr>
      <w:r>
        <w:rPr>
          <w:rFonts w:ascii="Georgia;serif" w:hAnsi="Georgia;serif"/>
          <w:color w:val="000000"/>
          <w:sz w:val="18"/>
        </w:rPr>
        <w:t>Boston, Massachusetts 02210</w:t>
      </w:r>
    </w:p>
    <w:p>
      <w:pPr>
        <w:pStyle w:val="TextBody"/>
        <w:bidi w:val="0"/>
        <w:jc w:val="left"/>
        <w:rPr>
          <w:rFonts w:ascii="Georgia;serif" w:hAnsi="Georgia;serif"/>
          <w:color w:val="000000"/>
          <w:sz w:val="18"/>
        </w:rPr>
      </w:pPr>
      <w:r>
        <w:rPr>
          <w:rFonts w:ascii="Georgia;serif" w:hAnsi="Georgia;serif"/>
          <w:color w:val="000000"/>
          <w:sz w:val="18"/>
        </w:rPr>
        <w:t>(617) 530 5000</w:t>
      </w:r>
    </w:p>
    <w:p>
      <w:pPr>
        <w:pStyle w:val="TextBody"/>
        <w:bidi w:val="0"/>
        <w:jc w:val="left"/>
        <w:rPr>
          <w:rFonts w:ascii="Georgia;serif" w:hAnsi="Georgia;serif"/>
          <w:b/>
          <w:sz w:val="22"/>
        </w:rPr>
      </w:pPr>
      <w:r>
        <w:rPr>
          <w:rFonts w:ascii="Georgia;serif" w:hAnsi="Georgia;serif"/>
          <w:b/>
          <w:sz w:val="22"/>
        </w:rPr>
        <w:t>www.pwc.com/us</w:t>
      </w:r>
    </w:p>
    <w:p>
      <w:pPr>
        <w:pStyle w:val="TextBody"/>
        <w:bidi w:val="0"/>
        <w:spacing w:before="23"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889</Words>
  <Characters>4872</Characters>
  <CharactersWithSpaces>5779</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