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McNeice Paul Francis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20" w:lineRule="auto"/>
        <w:rPr>
          <w:sz w:val="20"/>
          <w:szCs w:val="20"/>
          <w:color w:val="auto"/>
        </w:rPr>
      </w:pPr>
      <w:r>
        <w:rPr>
          <w:rFonts w:ascii="Times New Roman" w:cs="Times New Roman" w:eastAsia="Times New Roman" w:hAnsi="Times New Roman"/>
          <w:sz w:val="17"/>
          <w:szCs w:val="17"/>
          <w:color w:val="0000FF"/>
        </w:rPr>
        <w:t>C/O AMERICAN WELL CORPORATION 75 STATE STREET, STE.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American Well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AMWL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383</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10,616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made in order to pay the tax liability arising from the vesting and settlement of restricted stock units on April 1, 2026. The sales were effected through and automatic "sell to cover" transaction that did not represent a discretionary trade by the reporting person.</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Anna Nesterova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2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20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Paul</w:t>
      </w:r>
      <w:r>
        <w:rPr>
          <w:sz w:val="20"/>
          <w:szCs w:val="20"/>
          <w:color w:val="auto"/>
        </w:rPr>
        <w:tab/>
      </w: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McNeice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4025" TargetMode="External"/><Relationship Id="rId14" Type="http://schemas.openxmlformats.org/officeDocument/2006/relationships/hyperlink" Target="http://www.sec.gov/cgi-bin/browse-edgar?action=getcompany&amp;CIK=0001393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2026-04-02T16:20:20Z</dcterms:created>
  <dcterms:modified xsi:type="dcterms:W3CDTF">2026-04-02T16:20:20Z</dcterms:modified>
</cp:coreProperties>
</file>