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mwl-20260804.htm"/>
      <w:bookmarkStart w:id="1" w:name="ksamwl202608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American Well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001-39515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20-5009396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75 State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02109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204-3500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85" w:type="dxa"/>
        <w:jc w:val="left"/>
        <w:tblInd w:w="0" w:type="dxa"/>
        <w:tblLayout w:type="fixed"/>
        <w:tblCellMar>
          <w:top w:w="28" w:type="dxa"/>
          <w:left w:w="28" w:type="dxa"/>
          <w:bottom w:w="28" w:type="dxa"/>
          <w:right w:w="28" w:type="dxa"/>
        </w:tblCellMar>
      </w:tblPr>
      <w:tblGrid>
        <w:gridCol w:w="3421"/>
        <w:gridCol w:w="146"/>
        <w:gridCol w:w="946"/>
        <w:gridCol w:w="146"/>
        <w:gridCol w:w="382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AMWL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August 4, 2026, American Well Corporation (the "Company") announced its financial results for the fiscal quarter ended June 30, 2026. The Company's Earnings Report is furnished as Exhibit 99.1 to this Form 8-K and is incorporated by reference herein.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will host a conference call to discuss its financial results today at 5 p.m. ET. The call can be accessed via a live audio webcast at https://edge.media-server.com/mmc/p/b826q95x/. A webcast replay will be available for approximately 90 days at investors.amwell.com.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information contained in this Item 2.02 and Exhibit 99.1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pStyle w:val="Heading2"/>
        <w:bidi w:val="0"/>
        <w:spacing w:before="20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 xml:space="preserve">. The following exhibit is being filed herewith: </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6601" w:type="dxa"/>
            <w:tcBorders/>
            <w:tcMar>
              <w:top w:w="0" w:type="dxa"/>
              <w:left w:w="0" w:type="dxa"/>
              <w:bottom w:w="0" w:type="dxa"/>
              <w:right w:w="0" w:type="dxa"/>
            </w:tcMar>
            <w:vAlign w:val="center"/>
          </w:tcPr>
          <w:p>
            <w:pPr>
              <w:pStyle w:val="TableContents"/>
              <w:bidi w:val="0"/>
              <w:spacing w:before="0" w:after="160"/>
              <w:jc w:val="left"/>
              <w:rPr/>
            </w:pPr>
            <w:hyperlink w:anchor="amwl-ex99_1.htm">
              <w:r>
                <w:rPr>
                  <w:rStyle w:val="InternetLink"/>
                  <w:rFonts w:ascii="Times New Roman" w:hAnsi="Times New Roman"/>
                  <w:color w:val="0000FF"/>
                  <w:sz w:val="20"/>
                  <w:u w:val="single"/>
                </w:rPr>
                <w:t>Earnings Report, dated August 4, 2026, issued by American Well Corporation</w:t>
              </w:r>
            </w:hyperlink>
            <w:r>
              <w:rPr>
                <w:rFonts w:ascii="Times New Roman" w:hAnsi="Times New Roman"/>
                <w:color w:val="000000"/>
                <w:sz w:val="20"/>
              </w:rPr>
              <w:t>.</w:t>
            </w:r>
          </w:p>
        </w:tc>
      </w:tr>
      <w:tr>
        <w:trPr/>
        <w:tc>
          <w:tcPr>
            <w:tcW w:w="4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39" w:type="dxa"/>
        <w:jc w:val="left"/>
        <w:tblInd w:w="0" w:type="dxa"/>
        <w:tblLayout w:type="fixed"/>
        <w:tblCellMar>
          <w:top w:w="28" w:type="dxa"/>
          <w:left w:w="28" w:type="dxa"/>
          <w:bottom w:w="28" w:type="dxa"/>
          <w:right w:w="28" w:type="dxa"/>
        </w:tblCellMar>
      </w:tblPr>
      <w:tblGrid>
        <w:gridCol w:w="556"/>
        <w:gridCol w:w="1351"/>
        <w:gridCol w:w="451"/>
        <w:gridCol w:w="318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AMERICAN WELL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Anna Nesterova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Anna Nesterova</w:t>
              <w:br/>
              <w:t>Head of Legal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mwl-ex99_1.htm"/>
      <w:bookmarkStart w:id="3" w:name="ksamwl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drawing>
          <wp:inline distT="0" distB="0" distL="0" distR="0">
            <wp:extent cx="157162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71625" cy="314325"/>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aps/>
          <w:color w:val="000000"/>
          <w:sz w:val="20"/>
        </w:rPr>
      </w:pPr>
      <w:r>
        <w:rPr>
          <w:rFonts w:ascii="Times New Roman" w:hAnsi="Times New Roman"/>
          <w:b/>
          <w:caps/>
          <w:color w:val="000000"/>
          <w:sz w:val="20"/>
        </w:rPr>
        <w:t>AMWELL® ANNOUNCES RESULTS FOR THE Second QUARTER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BOSTON, August 4</w:t>
      </w:r>
      <w:r>
        <w:rPr>
          <w:rFonts w:ascii="Times New Roman" w:hAnsi="Times New Roman"/>
          <w:b/>
          <w:caps/>
          <w:color w:val="000000"/>
          <w:sz w:val="20"/>
        </w:rPr>
        <w:t>, 2026</w:t>
      </w:r>
      <w:r>
        <w:rPr>
          <w:rFonts w:ascii="Times New Roman" w:hAnsi="Times New Roman"/>
          <w:color w:val="000000"/>
          <w:sz w:val="20"/>
        </w:rPr>
        <w:t xml:space="preserve"> –</w:t>
      </w:r>
      <w:r>
        <w:rPr>
          <w:rFonts w:ascii="Times New Roman" w:hAnsi="Times New Roman"/>
          <w:b/>
          <w:color w:val="000000"/>
          <w:sz w:val="20"/>
        </w:rPr>
        <w:t>Amwell</w:t>
      </w:r>
      <w:r>
        <w:rPr>
          <w:rFonts w:ascii="Times New Roman" w:hAnsi="Times New Roman"/>
          <w:b/>
          <w:i/>
          <w:color w:val="000000"/>
          <w:sz w:val="20"/>
        </w:rPr>
        <w:t>®</w:t>
      </w:r>
      <w:r>
        <w:rPr>
          <w:rFonts w:ascii="Times New Roman" w:hAnsi="Times New Roman"/>
          <w:color w:val="000000"/>
          <w:sz w:val="20"/>
        </w:rPr>
        <w:t xml:space="preserve"> (NYSE: AMWL), a leading provider of a comprehensive SaaS-based technology-enabled healthcare platform, today announced financial results for the second quarter ended June 30, 2026.</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The DHA’s intent to make Amwell a prime contractor is a powerful endorsement of our platform and our people,” said Dr. Ido Schoenberg, Chairman and CEO of Amwell. “With subscription revenue now approaching half our total revenue, independently validated behavioral clinical outcomes, no debt, and positive cash flows from operations projected for the fourth quarter this year, we have never been better positioned to lead the era of AI-powered care.”</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Amwell Second Quarter 2026 Highlights: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Recorded Total Revenue of $52.0 million at the top end of the previously provided financial guidance range for Q2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Achieved subscription revenue of $25.7 million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Recorded Amwell Medical Group (“AMG”) visit revenue of $24.4 million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Reported gross margin of 53%</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loss was ($9.6) million, compared to ($10.3) million in the first quarter of 2026, continuously moving from quarter to quarter in a favorable trajectory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Adjusted EBITDA of ($1.2) million compared to ($3.1) million in the first quarter of 2026</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Total visits on the platform were 0.8 million.</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Financial Outlook</w:t>
      </w:r>
    </w:p>
    <w:p>
      <w:pPr>
        <w:pStyle w:val="TextBody"/>
        <w:bidi w:val="0"/>
        <w:jc w:val="left"/>
        <w:rPr>
          <w:rFonts w:ascii="Times New Roman" w:hAnsi="Times New Roman"/>
          <w:color w:val="000000"/>
          <w:sz w:val="20"/>
        </w:rPr>
      </w:pPr>
      <w:r>
        <w:rPr>
          <w:rFonts w:ascii="Times New Roman" w:hAnsi="Times New Roman"/>
          <w:color w:val="000000"/>
          <w:sz w:val="20"/>
        </w:rPr>
        <w:t>The Company is significantly improving Adjusted EBITDA, reaffirming its AMG visit guidance, and raising the low end of its 2026 revenue outlook: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Revenue in the range of $200 million to $205 million increased from $195 million to $205 million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AMG visits between 1.32 million and 1.37 million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EBITDA in the range between ($9) million to ($7) million increased from ($16) million to ($12) million. </w:t>
      </w:r>
    </w:p>
    <w:p>
      <w:pPr>
        <w:pStyle w:val="TextBody"/>
        <w:bidi w:val="0"/>
        <w:jc w:val="left"/>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The Company also provided financial guidance for Q3 2026 Revenue and adjusted EBITDA: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Q3 revenue in the range of $46 million to $48 million</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Q3 adjusted EBITDA expected to in the range of ($5) million to ($3)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also reiterated its objective to achieve positive cash flow from operations in the fourth quarter of 2026. </w:t>
      </w:r>
    </w:p>
    <w:p>
      <w:pPr>
        <w:pStyle w:val="TextBody"/>
        <w:bidi w:val="0"/>
        <w:jc w:val="left"/>
        <w:rPr>
          <w:rFonts w:ascii="Times New Roman" w:hAnsi="Times New Roman"/>
          <w:color w:val="000000"/>
          <w:sz w:val="20"/>
        </w:rPr>
      </w:pPr>
      <w:r>
        <w:rPr>
          <w:rFonts w:ascii="Times New Roman" w:hAnsi="Times New Roman"/>
          <w:color w:val="000000"/>
          <w:sz w:val="20"/>
        </w:rPr>
        <w:t xml:space="preserve">Amwell will host a conference call to discuss its financial results today at 5 p.m. ET. The call can be accessed via a live audio webcast at https://edge.media-server.com/mmc/p/b826q95x/. A webcast replay will be available for approximately 90 days at investors.amwell.com.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Other than with respect to GAAP Revenue, the Company only provides guidance on a non-GAAP basis. The Company does not provide a reconciliation of forward-looking Adjusted EBITDA (non-GAAP) to GAAP net income (loss), due to the inherent difficulty in forecasting and quantifying certain amounts that are necessary for such reconciliation. Because other deductions used to calculate projected net income (loss) vary dramatically based on actual events, the Company is not able to forecast on a GAAP basis with reasonable certainty all deductions needed in order to provide a GAAP calculation of projected net income (loss) at this time. The amount of these deductions may be material and, therefore, could result in projected GAAP net income (loss) being materially less than projected Adjusted EBITDA (non-GAAP).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About Amwell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Amwell offers payers and health systems a single, comprehensive, technology-enabled care platform. We use technology to provide patients with better access to more convenient, affordable and effective care. The Amwell platform includes software and services that power many clinical programs from Amwell and our growing number of partners. Our platform allows patients to experience unified, personalized and simple access to diversified clinical programs across the care continuum. As more people seek care online and more clinical programs become available, we offer integrated, future-ready, consistent solutions. The Amwell platform is proven, operating at a large scale, enabling care for millions of patients and their sponsors while delivering dependable outcomes. For almost two decades, Amwell has proudly served some of the largest and most sophisticated healthcare organizations in the U.S. . For more information, visit business.amwell.com or LinkedIn.</w:t>
      </w:r>
    </w:p>
    <w:p>
      <w:pPr>
        <w:pStyle w:val="TextBody"/>
        <w:bidi w:val="0"/>
        <w:spacing w:before="240" w:after="283"/>
        <w:jc w:val="left"/>
        <w:rPr>
          <w:rFonts w:ascii="Times New Roman" w:hAnsi="Times New Roman"/>
          <w:sz w:val="20"/>
        </w:rPr>
      </w:pPr>
      <w:r>
        <w:rPr>
          <w:rFonts w:ascii="Times New Roman" w:hAnsi="Times New Roman"/>
          <w:i/>
          <w:color w:val="000000"/>
          <w:sz w:val="20"/>
        </w:rPr>
        <w:t>©2026American Well Corporation. All rights reserved. Amwell®, SilverCloud®, Amwell Platform</w:t>
      </w:r>
      <w:r>
        <w:rPr>
          <w:rFonts w:ascii="Times New Roman" w:hAnsi="Times New Roman"/>
          <w:i/>
          <w:color w:val="000000"/>
          <w:sz w:val="13"/>
        </w:rPr>
        <w:t>TM</w:t>
      </w:r>
      <w:r>
        <w:rPr>
          <w:rFonts w:ascii="Times New Roman" w:hAnsi="Times New Roman"/>
          <w:i/>
          <w:color w:val="000000"/>
          <w:sz w:val="20"/>
        </w:rPr>
        <w:t>, Amwell Converge ®, Carepoint</w:t>
      </w:r>
      <w:r>
        <w:rPr>
          <w:rFonts w:ascii="Times New Roman" w:hAnsi="Times New Roman"/>
          <w:i/>
          <w:color w:val="000000"/>
          <w:sz w:val="13"/>
        </w:rPr>
        <w:t xml:space="preserve">TM </w:t>
      </w:r>
      <w:r>
        <w:rPr>
          <w:rFonts w:ascii="Times New Roman" w:hAnsi="Times New Roman"/>
          <w:i/>
          <w:color w:val="000000"/>
          <w:sz w:val="20"/>
        </w:rPr>
        <w:t>and the Amwell Logo are registered trademarks or trademarks of American Well Corporation.</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press release contains forward-looking statements about us and our industry that involve substantial risks and uncertainties and are based on our beliefs and assumptions and on information currently available to us. All statements other than statements of historical facts contained in this press release,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“could,” “estimate,” “expect,” “intend,” “may,” “plan,” “potential,” “predict,” “project,” “should,” “will,” or “would,” or the negative of these words or other similar terms or expressions.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represent our beliefs and assumptions only as of the date of this release. These statements, and related risks, uncertainties, factors and assumptions, include, but are not limited to: our ability to successfully transition our clients to our current platform without significant attrition; our ability to renew and upsell our client base; the election by the Defense Health Agency to deploy our solution across their entire enterprise; the continuation of the DHA relationship beyond Q3 2026 with comparable financial terms; weak growth and increased volatility in the telehealth market; our ability to adapt to rapid technological changes; increased competition from existing and potential new participants in the healthcare industry; changes in healthcare laws, regulations or trends and our ability to operate in the heavily regulated healthcare industry; our ability to comply with federal and state privacy regulations; the significant liability that could result from a cybersecurity breach; our ability to commence and complete and strategic transformation initiatives and the impact of such initiatives; and other factors described under ‘Risk Factors’ in our most recent form 10-K filed with the SEC. These risks are not exhaustive. Except as required by law, we assume no obligation to update these forward-looking statements, or to update the reasons actual results could differ materially from those anticipated in the forward-looking statements, even if new information becomes available in the future. Further information on factors that could cause actual results to differ materially from the results anticipated by our forward-looking statements is included in the reports we have filed or will file with the Securities and Exchange Commission. These filings, when available, are available on the investor relations section of our website at investors.amwell.com and on the SEC’s website at </w:t>
      </w:r>
      <w:r>
        <w:rPr>
          <w:rFonts w:ascii="Times New Roman" w:hAnsi="Times New Roman"/>
          <w:sz w:val="20"/>
        </w:rPr>
        <w:t>www.sec.gov</w:t>
      </w:r>
      <w:r>
        <w:rPr>
          <w:rFonts w:ascii="Times New Roman" w:hAnsi="Times New Roman"/>
          <w:color w:val="000000"/>
          <w:sz w:val="20"/>
          <w:u w:val="single"/>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240" w:after="283"/>
        <w:jc w:val="left"/>
        <w:rPr>
          <w:rFonts w:ascii="Times New Roman" w:hAnsi="Times New Roman"/>
          <w:sz w:val="20"/>
        </w:rPr>
      </w:pPr>
      <w:r>
        <w:rPr>
          <w:rFonts w:ascii="Times New Roman" w:hAnsi="Times New Roman"/>
          <w:b/>
          <w:color w:val="000000"/>
          <w:sz w:val="20"/>
        </w:rPr>
        <w:t>Media:</w:t>
      </w:r>
      <w:r>
        <w:rPr>
          <w:rFonts w:ascii="Times New Roman" w:hAnsi="Times New Roman"/>
          <w:color w:val="000000"/>
          <w:sz w:val="20"/>
        </w:rPr>
        <w:t xml:space="preserve"> Press@amwell.com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Investors:</w:t>
      </w:r>
    </w:p>
    <w:p>
      <w:pPr>
        <w:pStyle w:val="TextBody"/>
        <w:bidi w:val="0"/>
        <w:jc w:val="left"/>
        <w:rPr>
          <w:rFonts w:ascii="Times New Roman" w:hAnsi="Times New Roman"/>
          <w:color w:val="000000"/>
          <w:sz w:val="20"/>
        </w:rPr>
      </w:pPr>
      <w:r>
        <w:rPr>
          <w:rFonts w:ascii="Times New Roman" w:hAnsi="Times New Roman"/>
          <w:color w:val="000000"/>
          <w:sz w:val="20"/>
        </w:rPr>
        <w:t>Asher Dewhurst</w:t>
      </w:r>
    </w:p>
    <w:p>
      <w:pPr>
        <w:pStyle w:val="TextBody"/>
        <w:bidi w:val="0"/>
        <w:jc w:val="left"/>
        <w:rPr>
          <w:rFonts w:ascii="Times New Roman" w:hAnsi="Times New Roman"/>
          <w:color w:val="000000"/>
          <w:sz w:val="20"/>
        </w:rPr>
      </w:pPr>
      <w:r>
        <w:rPr>
          <w:rFonts w:ascii="Times New Roman" w:hAnsi="Times New Roman"/>
          <w:color w:val="000000"/>
          <w:sz w:val="20"/>
        </w:rPr>
        <w:t>amwell@icrhealthcare.com</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range_a1_e43"/>
      <w:bookmarkEnd w:id="4"/>
      <w:r>
        <w:rPr>
          <w:rFonts w:ascii="Times New Roman" w:hAnsi="Times New Roman"/>
          <w:b/>
          <w:color w:val="000000"/>
          <w:sz w:val="16"/>
        </w:rPr>
        <w:t>AMERICAN WELL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16"/>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37"/>
        <w:gridCol w:w="146"/>
        <w:gridCol w:w="220"/>
        <w:gridCol w:w="1041"/>
        <w:gridCol w:w="166"/>
        <w:gridCol w:w="146"/>
        <w:gridCol w:w="286"/>
        <w:gridCol w:w="1349"/>
        <w:gridCol w:w="814"/>
      </w:tblGrid>
      <w:tr>
        <w:trPr/>
        <w:tc>
          <w:tcPr>
            <w:tcW w:w="6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December 31, 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182,328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($30 and $955, from related parties and net of</w:t>
              <w:br/>
              <w:t>   allowances of $11,519 and $9,463,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49,693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contract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2,660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10,813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246,681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66,073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contract acquisition costs,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1,624</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323,787</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45,308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3,632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 ($20 and $113 from related parties,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73,214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75,999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 xml:space="preserve">Preferred stock, $0.01 par value; 100,000,000 shares authorized, no shares issued </w:t>
              <w:br/>
              <w:t>   or outstanding as of June 30, 2026 and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ind w:left="0" w:right="0" w:firstLine="200"/>
              <w:jc w:val="left"/>
              <w:rPr>
                <w:rFonts w:ascii="Times New Roman" w:hAnsi="Times New Roman"/>
                <w:color w:val="000000"/>
                <w:sz w:val="19"/>
              </w:rPr>
            </w:pPr>
            <w:r>
              <w:rPr>
                <w:rFonts w:ascii="Times New Roman" w:hAnsi="Times New Roman"/>
                <w:color w:val="000000"/>
                <w:sz w:val="19"/>
              </w:rPr>
              <w:t xml:space="preserve">Common stock, $0.01 par value; 1,000,000,000 Class A shares authorized, </w:t>
            </w:r>
          </w:p>
          <w:p>
            <w:pPr>
              <w:pStyle w:val="TableContents"/>
              <w:bidi w:val="0"/>
              <w:ind w:left="0" w:right="0" w:firstLine="200"/>
              <w:jc w:val="left"/>
              <w:rPr/>
            </w:pPr>
            <w:r>
              <w:rPr>
                <w:color w:val="000000"/>
              </w:rPr>
              <w:t>   </w:t>
            </w:r>
            <w:r>
              <w:rPr>
                <w:rFonts w:ascii="Times New Roman" w:hAnsi="Times New Roman"/>
                <w:color w:val="000000"/>
                <w:sz w:val="19"/>
              </w:rPr>
              <w:t xml:space="preserve">15,277,711 and 14,782,788 shares issued and outstanding, respectively; </w:t>
            </w:r>
          </w:p>
          <w:p>
            <w:pPr>
              <w:pStyle w:val="TableContents"/>
              <w:bidi w:val="0"/>
              <w:ind w:left="0" w:right="0" w:firstLine="200"/>
              <w:jc w:val="left"/>
              <w:rPr/>
            </w:pPr>
            <w:r>
              <w:rPr>
                <w:color w:val="000000"/>
              </w:rPr>
              <w:t>   </w:t>
            </w:r>
            <w:r>
              <w:rPr>
                <w:rFonts w:ascii="Times New Roman" w:hAnsi="Times New Roman"/>
                <w:color w:val="000000"/>
                <w:sz w:val="19"/>
              </w:rPr>
              <w:t xml:space="preserve">100,000,000 Class B shares authorized, 1,369,518 shares issued and </w:t>
            </w:r>
          </w:p>
          <w:p>
            <w:pPr>
              <w:pStyle w:val="TableContents"/>
              <w:bidi w:val="0"/>
              <w:ind w:left="0" w:right="0" w:firstLine="200"/>
              <w:jc w:val="left"/>
              <w:rPr/>
            </w:pPr>
            <w:r>
              <w:rPr>
                <w:color w:val="000000"/>
              </w:rPr>
              <w:t>   </w:t>
            </w:r>
            <w:r>
              <w:rPr>
                <w:rFonts w:ascii="Times New Roman" w:hAnsi="Times New Roman"/>
                <w:color w:val="000000"/>
                <w:sz w:val="19"/>
              </w:rPr>
              <w:t xml:space="preserve">outstanding; 200,000,000 Class C shares authorized 277,777 issued and </w:t>
            </w:r>
          </w:p>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outstanding as of June 30, 2026 and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2,313,775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2,309,145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(12,099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(2,082,441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(2,061,628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American Well Corporation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235,583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12,205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234,309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247,788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323,787</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AMERICAN WELL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operat"/>
      <w:bookmarkEnd w:id="6"/>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($34, $833, $614 and $1,265 from related parties, </w:t>
            </w:r>
          </w:p>
          <w:p>
            <w:pPr>
              <w:pStyle w:val="TableContents"/>
              <w:bidi w:val="0"/>
              <w:spacing w:before="0" w:after="283"/>
              <w:jc w:val="left"/>
              <w:rPr>
                <w:color w:val="000000"/>
              </w:rPr>
            </w:pPr>
            <w:r>
              <w:rPr>
                <w:color w:val="000000"/>
              </w:rPr>
              <w:t>   </w:t>
            </w:r>
            <w:r>
              <w:rPr>
                <w:rFonts w:ascii="Times New Roman" w:hAnsi="Times New Roman"/>
                <w:color w:val="000000"/>
                <w:sz w:val="20"/>
              </w:rPr>
              <w:t>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Costs of revenue, excluding depreciation and amortization </w:t>
            </w:r>
          </w:p>
          <w:p>
            <w:pPr>
              <w:pStyle w:val="TableContents"/>
              <w:bidi w:val="0"/>
              <w:spacing w:before="0" w:after="283"/>
              <w:jc w:val="left"/>
              <w:rPr>
                <w:color w:val="000000"/>
              </w:rPr>
            </w:pPr>
            <w:r>
              <w:rPr>
                <w:color w:val="000000"/>
              </w:rPr>
              <w:t>   </w:t>
            </w:r>
            <w:r>
              <w:rPr>
                <w:rFonts w:ascii="Times New Roman" w:hAnsi="Times New Roman"/>
                <w:color w:val="000000"/>
                <w:sz w:val="20"/>
              </w:rPr>
              <w:t>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and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on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expense from income taxes and loss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American Well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Net loss per share attributable to common stockholders, </w:t>
            </w:r>
          </w:p>
          <w:p>
            <w:pPr>
              <w:pStyle w:val="TableContents"/>
              <w:bidi w:val="0"/>
              <w:spacing w:before="0" w:after="283"/>
              <w:jc w:val="left"/>
              <w:rPr>
                <w:color w:val="000000"/>
              </w:rPr>
            </w:pPr>
            <w:r>
              <w:rPr>
                <w:color w:val="000000"/>
              </w:rPr>
              <w:t>   </w:t>
            </w: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Weighted-average common shares outstanding, basic and </w:t>
            </w:r>
          </w:p>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16,761,044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15,892,970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16,675,831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15,783,281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attributable to American Well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range_a1_g29"/>
      <w:bookmarkEnd w:id="7"/>
      <w:r>
        <w:rPr>
          <w:rFonts w:ascii="Times New Roman" w:hAnsi="Times New Roman"/>
          <w:b/>
          <w:color w:val="000000"/>
          <w:sz w:val="20"/>
        </w:rPr>
        <w:t>AMERICAN WELL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_statements_cash_flows"/>
      <w:bookmarkEnd w:id="8"/>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(In thousands, except share and per share amounts)</w:t>
      </w:r>
      <w:r>
        <w:rPr>
          <w:rFonts w:ascii="Times New Roman" w:hAnsi="Times New Roman"/>
          <w:color w:val="000000"/>
          <w:sz w:val="20"/>
        </w:rPr>
        <w:t xml:space="preserve"> </w:t>
      </w:r>
    </w:p>
    <w:tbl>
      <w:tblPr>
        <w:tblW w:w="9791" w:type="dxa"/>
        <w:jc w:val="left"/>
        <w:tblInd w:w="0" w:type="dxa"/>
        <w:tblLayout w:type="fixed"/>
        <w:tblCellMar>
          <w:top w:w="28" w:type="dxa"/>
          <w:left w:w="28" w:type="dxa"/>
          <w:bottom w:w="28" w:type="dxa"/>
          <w:right w:w="28" w:type="dxa"/>
        </w:tblCellMar>
      </w:tblPr>
      <w:tblGrid>
        <w:gridCol w:w="6451"/>
        <w:gridCol w:w="146"/>
        <w:gridCol w:w="219"/>
        <w:gridCol w:w="811"/>
        <w:gridCol w:w="172"/>
        <w:gridCol w:w="151"/>
        <w:gridCol w:w="219"/>
        <w:gridCol w:w="811"/>
        <w:gridCol w:w="811"/>
      </w:tblGrid>
      <w:tr>
        <w:trPr/>
        <w:tc>
          <w:tcPr>
            <w:tcW w:w="6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(37,887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Impairment on 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14,606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16,025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Provisions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2,741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deferred contract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deferred contract fulfillment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gain on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4,337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13,349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Loss on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(5,677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10,767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contract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13,809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3,437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(13,394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9,734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(29,832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divestiture, net of cash divested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1,384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19,391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for the 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303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542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exchange rates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2,197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9"/>
              </w:rPr>
            </w:pPr>
            <w:r>
              <w:rPr>
                <w:rFonts w:ascii="Times New Roman" w:hAnsi="Times New Roman"/>
                <w:b/>
                <w:color w:val="000000"/>
                <w:sz w:val="19"/>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13,618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(9,244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183,123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229,111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196,741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219,867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195,946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219,072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196,741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219,867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supplement our financial information presented in accordance with generally accepted accounting principles in the United States, of US GAAP, we use adjusted EBITDA, which is a non-U.S GAAP financial measure to clarify and enhance an understanding of past performance. We believe that the presentation of adjusted EBITDA enhances an investor’s understanding of our financial performance. We further believe that adjusted EBITDA is a useful financial metric to assess our operating performance from period-to-period by excluding certain items that we believe are not representative of our core business. We use certain financial measures for business planning purposes and in measuring our performance relative to that of our competitors. We utilize adjusted EBITDA as the primary measure of our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calculate adjusted EBITDA as net loss adjusted to exclude (i) interest income and other income, net, (ii) tax benefit and expense, (iii) depreciation and amortization, (iv) gain on divestiture, (v) stock-based compensation expense and (vi) severance and strategic transformation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adjusted EBITDA is commonly used by investors to evaluate our performance and that of our competitors. However, our use of the term adjusted EBITDA may vary from that of others in our industry. Adjusted EBITDA should not be considered as an alternative to net loss before taxes, net loss, loss per share or any other performance measures derived in accordance with U.S. GAAP as measures of performance.</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EBITDA has important limitations as an analytical tool, and you should not consider it in isolation or as a substitute for analysis of our results as reported under U.S. GAAP. 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following table presents a reconciliation of adjusted EBITDA from the most comparable GAAP measure, net loss, for the three and six months ended </w:t>
      </w:r>
      <w:r>
        <w:rPr>
          <w:rFonts w:ascii="Times New Roman" w:hAnsi="Times New Roman"/>
          <w:color w:val="000000"/>
          <w:sz w:val="20"/>
          <w:u w:val="single"/>
        </w:rPr>
        <w:t>June 30</w:t>
      </w:r>
      <w:r>
        <w:rPr>
          <w:rFonts w:ascii="Times New Roman" w:hAnsi="Times New Roman"/>
          <w:color w:val="000000"/>
          <w:sz w:val="20"/>
        </w:rPr>
        <w:t>, 2026 and 2025 and the three months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5"/>
        <w:gridCol w:w="146"/>
        <w:gridCol w:w="648"/>
        <w:gridCol w:w="146"/>
        <w:gridCol w:w="1952"/>
        <w:gridCol w:w="146"/>
        <w:gridCol w:w="1892"/>
        <w:gridCol w:w="146"/>
        <w:gridCol w:w="1878"/>
        <w:gridCol w:w="146"/>
        <w:gridCol w:w="2020"/>
      </w:tblGrid>
      <w:tr>
        <w:trPr/>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10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6"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20"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 2026</w:t>
            </w:r>
          </w:p>
        </w:tc>
      </w:tr>
      <w:tr>
        <w:trPr/>
        <w:tc>
          <w:tcPr>
            <w:tcW w:w="10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 thousands)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5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9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20"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10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 (9,625)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5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 (19,531)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9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 (19,926)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 (37,887)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 (10,301)</w:t>
            </w:r>
          </w:p>
        </w:tc>
      </w:tr>
      <w:tr>
        <w:trPr/>
        <w:tc>
          <w:tcPr>
            <w:tcW w:w="1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7,021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52"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8,224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92"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14,584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16,024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7,563 </w:t>
            </w:r>
          </w:p>
        </w:tc>
      </w:tr>
      <w:tr>
        <w:trPr/>
        <w:tc>
          <w:tcPr>
            <w:tcW w:w="1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income and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617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2"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304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(3,533)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(313)</w:t>
            </w:r>
          </w:p>
        </w:tc>
      </w:tr>
      <w:tr>
        <w:trPr/>
        <w:tc>
          <w:tcPr>
            <w:tcW w:w="10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Net gain on divestiture</w:t>
            </w:r>
            <w:r>
              <w:rPr>
                <w:rFonts w:ascii="Times New Roman" w:hAnsi="Times New Roman"/>
                <w:color w:val="000000"/>
                <w:sz w:val="9"/>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52"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9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(7,027)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(10,713)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(7,027)</w:t>
            </w:r>
          </w:p>
        </w:tc>
      </w:tr>
      <w:tr>
        <w:trPr/>
        <w:tc>
          <w:tcPr>
            <w:tcW w:w="1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0"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217 </w:t>
            </w:r>
          </w:p>
        </w:tc>
      </w:tr>
      <w:tr>
        <w:trPr/>
        <w:tc>
          <w:tcPr>
            <w:tcW w:w="10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2,028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52"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5,662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92"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4,332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7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13,348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2,304 </w:t>
            </w:r>
          </w:p>
        </w:tc>
      </w:tr>
      <w:tr>
        <w:trPr/>
        <w:tc>
          <w:tcPr>
            <w:tcW w:w="1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Severance and strategic transformation costs</w:t>
            </w: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2,541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3,834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6,006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4"/>
              </w:rPr>
              <w:t xml:space="preserve">4,477 </w:t>
            </w:r>
          </w:p>
        </w:tc>
      </w:tr>
      <w:tr>
        <w:trPr/>
        <w:tc>
          <w:tcPr>
            <w:tcW w:w="10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Adjusted EBITDA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 (1,150)</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52"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 (4,674)</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892"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 (4,230)</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878"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 (16,912)</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020"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4"/>
              </w:rPr>
              <w:t>$ (3,080)</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Severance and strategic transformation costs include expenses associated with the termination of employees and expenses (including abandonment of our corporate headquarters) that focus on transforming the strategy of the Company’s sales and growth organization as well as our overall cost 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divestiture is related to the gain recognized on the sale of our APC business.</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3290</Words>
  <Characters>18533</Characters>
  <CharactersWithSpaces>22715</CharactersWithSpaces>
  <Paragraphs>1481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