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American Well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Senvest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1,136,558.00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1,136,558.00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1,136,558.00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Richard Mashaal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1,136,558.00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1,136,558.00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1,136,558.00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American Well Corp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75 State Street, 26th Floor, Boston, MA 02109</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Senvest Management, LLC and Richard Mashaal, with respect to the Class A common stock, par value $0.01 per share ("Class A Common Stock"), of American Well Corporation, a Delaware corporation (the "Company"). The reported securities are held in the account of Senvest Master Fund, LP and Senvest Technology Partners Master Fund, LP (collectively, the "Investment Vehicles"). Senvest Management, LLC may be deemed to beneficially own the securities held by the Investment Vehicles by virtue of Senvest Management, LLC's position as investment manager of the Investment Vehicles. Mr. Mashaal may be deemed to beneficially own the securities held by the Investment Vehicles by virtue of Mr. Mashaal's status as the managing member of Senvest Management, LLC. None of the foregoing should be construed in and of itself as an admission by any Reporting Person as to beneficial ownership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Senvest Management, LLC 540 Madison Avenue, 32nd Floor New York, New York 10022 Richard Mashaal c/o Senvest Management, LLC 540 Madison Avenue, 32nd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Senvest Management, LLC - Delaware Richard Mashaal - Canada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14,904,513 shares of Class A Common Stock outstanding as of January 30, 2026, as reported in the Company's Annual Report on Form 10-K for the fiscal year ended December 31, 2025, filed with the Securities and Exchange Commission on February 12, 2026.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7.6%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Investment Vehicles have the right to receive and the power to direct the receipt of dividends from, and the proceeds from the sale of, the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Senvest Management, LLC</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Bobby Trahanas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Bobby Trahanas,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Richard Mashaal</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Richard Mashaal</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Richard Mashaal, Individually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1340</Words>
  <Characters>6809</Characters>
  <CharactersWithSpaces>8119</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