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Cosgrove Delos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WELL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STATE STREET,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Well Corp</w:t>
              </w:r>
            </w:hyperlink>
            <w:r>
              <w:rPr/>
              <w:t xml:space="preserve"> [ </w:t>
            </w:r>
            <w:r>
              <w:rPr>
                <w:rFonts w:ascii="Times;serif" w:hAnsi="Times;serif"/>
                <w:color w:val="0000FF"/>
                <w:sz w:val="24"/>
                <w:shd w:fill="FFFFFF" w:val="clear"/>
              </w:rPr>
              <w:t>AMWL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14,501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71,193</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which vest on the earlier of (i) the day immediately preceding the date of the first annual meeting of the stockholders following the grant date and (ii) the first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Nesterova as attorney-in-fact for Delos M. Cosgrove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4222" TargetMode="External"/><Relationship Id="rId5" Type="http://schemas.openxmlformats.org/officeDocument/2006/relationships/hyperlink" Target="http://www.sec.gov/cgi-bin/browse-edgar?action=getcompany&amp;CIK=0001393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3283</Characters>
  <CharactersWithSpaces>3835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