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80" w:right="20" w:hanging="459"/>
        <w:spacing w:after="0" w:line="252" w:lineRule="auto"/>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204"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240" w:type="dxa"/>
            <w:vAlign w:val="bottom"/>
            <w:gridSpan w:val="3"/>
          </w:tcPr>
          <w:p>
            <w:pPr>
              <w:jc w:val="center"/>
              <w:ind w:left="1717"/>
              <w:spacing w:after="0"/>
              <w:rPr>
                <w:sz w:val="20"/>
                <w:szCs w:val="20"/>
                <w:color w:val="auto"/>
              </w:rPr>
            </w:pPr>
            <w:r>
              <w:rPr>
                <w:rFonts w:ascii="Times New Roman" w:cs="Times New Roman" w:eastAsia="Times New Roman" w:hAnsi="Times New Roman"/>
                <w:sz w:val="16"/>
                <w:szCs w:val="16"/>
                <w:b w:val="1"/>
                <w:bCs w:val="1"/>
                <w:color w:val="auto"/>
              </w:rPr>
              <w:t>Commission File Number 001-39515</w:t>
            </w:r>
          </w:p>
        </w:tc>
        <w:tc>
          <w:tcPr>
            <w:tcW w:w="1080" w:type="dxa"/>
            <w:vAlign w:val="bottom"/>
          </w:tcPr>
          <w:p>
            <w:pPr>
              <w:spacing w:after="0"/>
              <w:rPr>
                <w:sz w:val="18"/>
                <w:szCs w:val="18"/>
                <w:color w:val="auto"/>
              </w:rPr>
            </w:pPr>
          </w:p>
        </w:tc>
      </w:tr>
      <w:tr>
        <w:trPr>
          <w:trHeight w:val="87"/>
        </w:trPr>
        <w:tc>
          <w:tcPr>
            <w:tcW w:w="29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396"/>
        </w:trPr>
        <w:tc>
          <w:tcPr>
            <w:tcW w:w="6240" w:type="dxa"/>
            <w:vAlign w:val="bottom"/>
            <w:gridSpan w:val="3"/>
          </w:tcPr>
          <w:p>
            <w:pPr>
              <w:ind w:left="1820"/>
              <w:spacing w:after="0" w:line="395" w:lineRule="exact"/>
              <w:rPr>
                <w:sz w:val="20"/>
                <w:szCs w:val="20"/>
                <w:color w:val="auto"/>
              </w:rPr>
            </w:pPr>
            <w:r>
              <w:rPr>
                <w:rFonts w:ascii="Times New Roman" w:cs="Times New Roman" w:eastAsia="Times New Roman" w:hAnsi="Times New Roman"/>
                <w:sz w:val="36"/>
                <w:szCs w:val="36"/>
                <w:b w:val="1"/>
                <w:bCs w:val="1"/>
                <w:color w:val="auto"/>
              </w:rPr>
              <w:t>American Well Corporation</w:t>
            </w:r>
          </w:p>
        </w:tc>
        <w:tc>
          <w:tcPr>
            <w:tcW w:w="1080" w:type="dxa"/>
            <w:vAlign w:val="bottom"/>
          </w:tcPr>
          <w:p>
            <w:pPr>
              <w:spacing w:after="0"/>
              <w:rPr>
                <w:sz w:val="24"/>
                <w:szCs w:val="24"/>
                <w:color w:val="auto"/>
              </w:rPr>
            </w:pPr>
          </w:p>
        </w:tc>
      </w:tr>
      <w:tr>
        <w:trPr>
          <w:trHeight w:val="212"/>
        </w:trPr>
        <w:tc>
          <w:tcPr>
            <w:tcW w:w="6240" w:type="dxa"/>
            <w:vAlign w:val="bottom"/>
            <w:gridSpan w:val="3"/>
          </w:tcPr>
          <w:p>
            <w:pPr>
              <w:jc w:val="center"/>
              <w:ind w:left="169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080" w:type="dxa"/>
            <w:vAlign w:val="bottom"/>
          </w:tcPr>
          <w:p>
            <w:pPr>
              <w:spacing w:after="0"/>
              <w:rPr>
                <w:sz w:val="18"/>
                <w:szCs w:val="18"/>
                <w:color w:val="auto"/>
              </w:rPr>
            </w:pPr>
          </w:p>
        </w:tc>
      </w:tr>
      <w:tr>
        <w:trPr>
          <w:trHeight w:val="100"/>
        </w:trPr>
        <w:tc>
          <w:tcPr>
            <w:tcW w:w="290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0"/>
        </w:trPr>
        <w:tc>
          <w:tcPr>
            <w:tcW w:w="6240" w:type="dxa"/>
            <w:vAlign w:val="bottom"/>
            <w:gridSpan w:val="3"/>
          </w:tcPr>
          <w:p>
            <w:pPr>
              <w:jc w:val="center"/>
              <w:ind w:right="38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20-5009396</w:t>
            </w:r>
          </w:p>
        </w:tc>
      </w:tr>
      <w:tr>
        <w:trPr>
          <w:trHeight w:val="135"/>
        </w:trPr>
        <w:tc>
          <w:tcPr>
            <w:tcW w:w="6240" w:type="dxa"/>
            <w:vAlign w:val="bottom"/>
            <w:gridSpan w:val="3"/>
          </w:tcPr>
          <w:p>
            <w:pPr>
              <w:jc w:val="center"/>
              <w:ind w:right="3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80" w:type="dxa"/>
            <w:vAlign w:val="bottom"/>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5"/>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75 State Street, 26th Floor Boston, MA</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02109</w:t>
            </w:r>
          </w:p>
        </w:tc>
      </w:tr>
      <w:tr>
        <w:trPr>
          <w:trHeight w:val="166"/>
        </w:trPr>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22"/>
        </w:trPr>
        <w:tc>
          <w:tcPr>
            <w:tcW w:w="6240" w:type="dxa"/>
            <w:vAlign w:val="bottom"/>
            <w:gridSpan w:val="3"/>
          </w:tcPr>
          <w:p>
            <w:pPr>
              <w:jc w:val="center"/>
              <w:ind w:left="169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204-3500</w:t>
            </w:r>
          </w:p>
        </w:tc>
        <w:tc>
          <w:tcPr>
            <w:tcW w:w="10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22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9"/>
                <w:szCs w:val="19"/>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of $0.01 per share</w:t>
            </w: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AMWL</w:t>
            </w:r>
          </w:p>
        </w:tc>
        <w:tc>
          <w:tcPr>
            <w:tcW w:w="120" w:type="dxa"/>
            <w:vAlign w:val="bottom"/>
          </w:tcPr>
          <w:p>
            <w:pPr>
              <w:spacing w:after="0"/>
              <w:rPr>
                <w:sz w:val="17"/>
                <w:szCs w:val="17"/>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Stock Exchange</w:t>
            </w:r>
          </w:p>
        </w:tc>
      </w:tr>
    </w:tbl>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12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16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516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3"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based on the closing price of the shares of Class A common stock on The New York Stock Exchange as of the last business day of the registrant’s most recently completed second fiscal quarter was approximately $515 million. Common stock held by each executive officer, director and by each person known to the registrant who owned 10% or more of its outstanding common stock have been excluded in that such persons may be deemed to be affiliates. This determination of affiliate status is not necessarily a conclusive determination for other purposes.</w:t>
      </w:r>
    </w:p>
    <w:p>
      <w:pPr>
        <w:spacing w:after="0" w:line="23"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As of February 2, 2024 the number of shares of Registrant’s Class A common stock outstanding was 256,306,641, the number of shares of Registrant’s Class B common stock outstanding was 27,390,397, and the number of shares of Registrant’s Class C common stock outstanding was 5,555,555.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jc w:val="both"/>
        <w:ind w:right="20"/>
        <w:spacing w:after="0" w:line="278" w:lineRule="auto"/>
        <w:rPr>
          <w:sz w:val="20"/>
          <w:szCs w:val="20"/>
          <w:color w:val="auto"/>
        </w:rPr>
      </w:pPr>
      <w:r>
        <w:rPr>
          <w:rFonts w:ascii="Times New Roman" w:cs="Times New Roman" w:eastAsia="Times New Roman" w:hAnsi="Times New Roman"/>
          <w:sz w:val="13"/>
          <w:szCs w:val="13"/>
          <w:color w:val="auto"/>
        </w:rPr>
        <w:t>The Registrant intends to file a definitive proxy statement pursuant to Regulation 14A relating to the 2024 Annual Meeting of Stockholders within 120 days of the end of the Registrant’s fiscal year ended December 31, 2023. Portions of such definitive proxy statement are incorporated by reference into Part III of this Annual Report on Form 10-K to the extent stated herein.</w:t>
      </w:r>
    </w:p>
    <w:p>
      <w:pPr>
        <w:spacing w:after="0" w:line="207" w:lineRule="exact"/>
        <w:rPr>
          <w:sz w:val="24"/>
          <w:szCs w:val="24"/>
          <w:color w:val="auto"/>
        </w:rPr>
      </w:pPr>
    </w:p>
    <w:p>
      <w:pPr>
        <w:spacing w:after="0"/>
        <w:tabs>
          <w:tab w:leader="none" w:pos="1600" w:val="left"/>
          <w:tab w:leader="none" w:pos="4580" w:val="left"/>
        </w:tabs>
        <w:rPr>
          <w:sz w:val="20"/>
          <w:szCs w:val="20"/>
          <w:color w:val="auto"/>
        </w:rPr>
      </w:pPr>
      <w:r>
        <w:rPr>
          <w:rFonts w:ascii="Times New Roman" w:cs="Times New Roman" w:eastAsia="Times New Roman" w:hAnsi="Times New Roman"/>
          <w:sz w:val="13"/>
          <w:szCs w:val="13"/>
          <w:color w:val="auto"/>
        </w:rPr>
        <w:t>Auditor Firm Id: 238</w:t>
      </w:r>
      <w:r>
        <w:rPr>
          <w:sz w:val="20"/>
          <w:szCs w:val="20"/>
          <w:color w:val="auto"/>
        </w:rPr>
        <w:tab/>
      </w:r>
      <w:r>
        <w:rPr>
          <w:rFonts w:ascii="Times New Roman" w:cs="Times New Roman" w:eastAsia="Times New Roman" w:hAnsi="Times New Roman"/>
          <w:sz w:val="13"/>
          <w:szCs w:val="13"/>
          <w:color w:val="auto"/>
        </w:rPr>
        <w:t>Auditor Name: PricewaterhouseCoopers LLP</w:t>
      </w:r>
      <w:r>
        <w:rPr>
          <w:sz w:val="20"/>
          <w:szCs w:val="20"/>
          <w:color w:val="auto"/>
        </w:rPr>
        <w:tab/>
      </w:r>
      <w:r>
        <w:rPr>
          <w:rFonts w:ascii="Times New Roman" w:cs="Times New Roman" w:eastAsia="Times New Roman" w:hAnsi="Times New Roman"/>
          <w:sz w:val="13"/>
          <w:szCs w:val="13"/>
          <w:color w:val="auto"/>
        </w:rPr>
        <w:t>Auditor Location: 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9"/>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4"/>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3"/>
          </w:tcPr>
          <w:p>
            <w:pPr>
              <w:spacing w:after="0"/>
              <w:rPr>
                <w:sz w:val="18"/>
                <w:szCs w:val="18"/>
                <w:color w:val="auto"/>
              </w:rPr>
            </w:pP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9"/>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7"/>
          </w:tcPr>
          <w:p>
            <w:pPr>
              <w:spacing w:after="0"/>
              <w:rPr>
                <w:sz w:val="18"/>
                <w:szCs w:val="18"/>
                <w:color w:val="auto"/>
              </w:rPr>
            </w:pPr>
          </w:p>
        </w:tc>
        <w:tc>
          <w:tcPr>
            <w:tcW w:w="52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9"/>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320" w:type="dxa"/>
            <w:vAlign w:val="bottom"/>
            <w:tcBorders>
              <w:top w:val="single" w:sz="8" w:color="0000FF"/>
            </w:tcBorders>
            <w:gridSpan w:val="6"/>
          </w:tcPr>
          <w:p>
            <w:pPr>
              <w:spacing w:after="0"/>
              <w:rPr>
                <w:sz w:val="18"/>
                <w:szCs w:val="18"/>
                <w:color w:val="auto"/>
              </w:rPr>
            </w:pP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that involve substantial risks and uncertainties. All statements contained in this Annual Report on Form 10-K other than statements of historical fact, including statements about our beliefs and expectations, are forward-looking statements and should be evaluated as such. Forward-looking statements include information concerning possible or assumed future results of operations, including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and projections are contained throughout this Form 10-K, including the sections entitled “Item 1. Business,” “Item 1A. Risk Factors,” and “Item 7. Management’s Discussion and Analysis of Financial Condition and Results of Operations.”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Important factors that may materially affect such forward-looking statements and projections include the following:</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growth and increased volatility in the digital care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the risk we may not achieve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rapid technological changes;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significant clients and the risk that we may lose their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existing and potential new participants in the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and our ability to operate in the heavily regulated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concerning personally identifiable information and personal health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growth in patient adoption of digital care and in platform usage by either clients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grow our base of affiliated and non-affiliated providers sufficient to serve patient demand;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and state privacy regulations and the significant liability that could result from a cybersecurity breach or our failure to comply with such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relationships with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seasonal viruses on our business or on our ability to forecast our business’s financial outlook;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insurance we maintain may not fully cover all potential exposures.</w:t>
      </w:r>
    </w:p>
    <w:p>
      <w:pPr>
        <w:spacing w:after="0" w:line="22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You should refer to “Item 1A. Risk Factors” for a discussion of these and other important factors that may cause our actual results to differ materially from those expressed or implied by our forward-looking statements.</w:t>
      </w:r>
    </w:p>
    <w:p>
      <w:pPr>
        <w:spacing w:after="0" w:line="16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cautionary statements should not be construed by you to be exhaustive and are made only as of the date of this Annual Report. We undertake no obligation to update or revise any forward-looking statements, whether as a result of new information, future events or otherwise. You should evaluate all forward-looking statements made in this Annual Report in the context of these risks and uncertainties.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Amwell is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Founded in 2006, Amwell pioneered virtual healthcare. Today, Amwell extends digital care beyond telehealth, enabling care across in-person, virtual and automated modalities and providing an open, scalable platform that can flex and grow alongside our clients.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power the digital care programs of more than 50 health plans, which collectively represent more than 100 million covered lives, as well as approximately 115 of the nation’s largest health systems. Since inception, we have powered more than 27.2 million virtual care visits for our clients, including more than 6.3 million in the year ended December 31, 2023.</w:t>
      </w:r>
    </w:p>
    <w:p>
      <w:pPr>
        <w:spacing w:after="0" w:line="17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enterprise platform and software as a service solutions enable hybrid care delivery by offering our clients products to help weave digital care across all care settings. For health systems, our enterprise platform enables provider-to-provider virtual care for use cases ranging from stroke and acute psychiatry evaluations to virtual nursing and e-sitting. Our suite of Carepoint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devices can enhance in-person care, whether the clients want to turn existing equipment such as televisions or iPads into digital access points or use Amwell Carepoint carts and peripherals. Our enterprise platform also helps extend care outside the care setting by enabling both on-demand and scheduled provider-to-patient care for a range of use cases. 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w:t>
      </w:r>
    </w:p>
    <w:p>
      <w:pPr>
        <w:spacing w:after="0" w:line="1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health plans, employers and government entities, our enterprise platform enables a member-centric hybrid care experience, seamlessly connecting with current technology investments and offering an open architecture that allows simple integration of future innovation. The platform enables a broad set of use cases, including primary, urgent, mental health, specialty, and chronic care. Our virtual primary care solution offers a primary care navigation hub that supports a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w:t>
      </w:r>
    </w:p>
    <w:p>
      <w:pPr>
        <w:spacing w:after="0" w:line="187"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approximately 99,500 of our clients’ providers use our enterprise platform and software to serve their patients and members. When needed, we augment and extend our clients’ clinical capabilities with Amwell Medical Group® (“AMG”), a nationwide network of clinical entities with multi-disciplinary providers covering 50 states with 24/7/365 coverage. The AMG network includes a clinical entity with care capabilities that have been accredited by the National Committee for Quality Assurance (“NCQA”) and a separate clinical entity with psychiatric care capabilities accredited by the Joint Commission.</w:t>
      </w:r>
    </w:p>
    <w:p>
      <w:pPr>
        <w:spacing w:after="0" w:line="190"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The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("Converge") is the latest version of our enterprise platform software. We designed the platform to be future-ready, reliable, flexible, scalable, secure and fully integrated with other healthcare software systems. Converge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experiences. The telehealth of yesterday has grown to encompass hybrid care delivery models and the flow of data that drives healthcare.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Converge delivers the digital capabilities that health systems and health plans care about — for example, virtual primary care, post-discharge follow-up, chronic condition management, virtual nursing — and aligns them into a single digital care operating system that aggregates all of the data from these care experiences to provide real-time insight. By providing a single platform for the digital distribution of care, Converge will accelerate innovation and interoperability for health system and health plan clients as well as other healthcare innovators who aim to offer a seamless experience for providers, patients and members.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Opportunities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Healthcare today is inefficient, expensive, complicated and fragmented, resulting in substantial challenges for providers, payers and patients. By addressing these challenges, digital care delivery offers many opportunities to improve healthcare, which include:</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Solving the access crisis driven by workforce shortages and inefficient resource allocation;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increasing healthcare costs for all stakeholders;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greater care coordination;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health equity;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patient and member experience to drive adoption and retention.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To capture these opportunities, we believe clients are seeking a comprehensive solution to support their connected care goals and consolidate unintegrated vendors and in-house designed solutions.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Platform, Powering the Care Continuum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Converge, our cloud-based enablement platform, is our go-forward strategy to digitally enable a single, unified, scalable healthcare experience across all care settings. The development of Converge represented a re-platforming by the Company to provide our customer base with an improved and more robust solution. This re-platforming has been an ongoing effort that resulted in increased research and development costs during the peak development period in 2022 and the first half of 2023, and we expect to see a return to normal levels of research and development spend in the coming quarters. Re-platforming can impact timing of revenue as we manage on-boarding and customer churn. During the fourth quarter of 2023, 52% of our visits were provided on Converge, which was an increase from 28% in the fourth quarter of 2022. A major strategic focus for us in 2024 is to continue the migration of our remaining health plan and health system clients onto Converge.</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Converge is designed to remotely implement hybrid care solutions for our clients and grow with them as they broaden their offerings. The platform allows clients the flexibility to build their optimal hybrid care model across a wide variety of use cases based on their unique needs.</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Health systems typically begin with on-demand and/or scheduled virtual visits. Additional provider-centric solutions include specialty consults, virtual nursing, automated care, behavioral health, and more. With our enterprise platform and software as a service, clients can seamlessly activate additional solutions on Converge as new needs arise, all working together to create a more connected experience for patients and providers.</w:t>
      </w:r>
    </w:p>
    <w:p>
      <w:pPr>
        <w:spacing w:after="0" w:line="176"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Health plans typically begin with urgent care, virtual primary care, or behavioral health. Clients also can offer members access to our suite of specialty care programs, including dermatology, musculoskeletal care, second opinion, dermatology, and cardiometabolic care. Converge’s open architecture allows it to integrate with health plans’ and employers’ existing systems and point solutions, connecting the digital care ecosystem and simplifying the member experience.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designed Converge to be future-ready, intuitive and convenient for patients, providers and payers:</w:t>
      </w:r>
    </w:p>
    <w:p>
      <w:pPr>
        <w:spacing w:after="0" w:line="115" w:lineRule="exact"/>
        <w:rPr>
          <w:sz w:val="20"/>
          <w:szCs w:val="20"/>
          <w:color w:val="auto"/>
        </w:rPr>
      </w:pPr>
    </w:p>
    <w:p>
      <w:pPr>
        <w:ind w:left="1020" w:right="4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Patients and Members—</w:t>
      </w:r>
      <w:r>
        <w:rPr>
          <w:rFonts w:ascii="Times New Roman" w:cs="Times New Roman" w:eastAsia="Times New Roman" w:hAnsi="Times New Roman"/>
          <w:sz w:val="18"/>
          <w:szCs w:val="18"/>
          <w:color w:val="auto"/>
        </w:rPr>
        <w:t>For member or patient-initiated on-demand/urgent care visits, patients can elect to see the next available clinician.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scheduled visits, patients are guided through customizable pre-visit readiness assessments and can enroll themselves and their dependents, enter their medical history, and check insurance coverage. Entering a visit is simple; patients just click on a link they receive in a text message or email. No app download is required. Post visit, patients can access their visit record or share it with other providers in their care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 w:name="page6"/>
    <w:bookmarkEnd w:id="5"/>
    <w:p>
      <w:pPr>
        <w:ind w:left="1020" w:right="260"/>
        <w:spacing w:after="0" w:line="261" w:lineRule="auto"/>
        <w:rPr>
          <w:sz w:val="20"/>
          <w:szCs w:val="20"/>
          <w:color w:val="auto"/>
        </w:rPr>
      </w:pPr>
      <w:r>
        <w:rPr>
          <w:rFonts w:ascii="Times New Roman" w:cs="Times New Roman" w:eastAsia="Times New Roman" w:hAnsi="Times New Roman"/>
          <w:sz w:val="18"/>
          <w:szCs w:val="18"/>
          <w:color w:val="auto"/>
        </w:rPr>
        <w:t>team. They also can engage with a condition-specific automated care program that the clinician enrolled them in during or after the visit. These automated care programs share patient data back with the care team and can escalate care back to a virtual visit when necessary and based on client implemented protocols. Converge received a thumbs up rating by patients of over 90% for the full-year period ended December 31, 2023.</w:t>
      </w:r>
    </w:p>
    <w:p>
      <w:pPr>
        <w:spacing w:after="0" w:line="70" w:lineRule="exact"/>
        <w:rPr>
          <w:sz w:val="20"/>
          <w:szCs w:val="20"/>
          <w:color w:val="auto"/>
        </w:rPr>
      </w:pPr>
    </w:p>
    <w:p>
      <w:pPr>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Providers—</w:t>
      </w:r>
      <w:r>
        <w:rPr>
          <w:rFonts w:ascii="Times New Roman" w:cs="Times New Roman" w:eastAsia="Times New Roman" w:hAnsi="Times New Roman"/>
          <w:sz w:val="18"/>
          <w:szCs w:val="18"/>
          <w:color w:val="auto"/>
        </w:rPr>
        <w:t>Converge is designed to deliver an easy-to-use provider experience via web or mobile device. Providers access familiar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taking notes, prescribing, referencing clinical treatment guidelines and alerts for gaps in care or referral protocols. They can enroll patients in automated care programs to augment care, when appropriate. Importantly, Converge solutions can be launched directly from within a provider’s EHR system, creating a seamless experience and reducing redundant data entry.</w:t>
      </w:r>
    </w:p>
    <w:p>
      <w:pPr>
        <w:spacing w:after="0" w:line="71"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Payers —</w:t>
      </w:r>
      <w:r>
        <w:rPr>
          <w:rFonts w:ascii="Times New Roman" w:cs="Times New Roman" w:eastAsia="Times New Roman" w:hAnsi="Times New Roman"/>
          <w:sz w:val="18"/>
          <w:szCs w:val="18"/>
          <w:color w:val="auto"/>
        </w:rPr>
        <w:t>Access to Converge can be embedded directly into health plan portals, websites, and mobile applications, all using the health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trusted brand. The platform integrates directly with claims and eligibility systems to enable eligibility verification and collection of correct co-insurance payments from patients at the time of the visit. In addition, the platform enables payers to connect their own digital assets, influence member workflows, and present key clinical quality information, such as gaps in care, to providers at the time of a visit. Converge also enables payers with provider networks or integrated delivery networks to seamlessly incorporate their own providers to care delivery programs.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Carepoint Devices and Connections Enable a Variety of Clinical Settings</w:t>
      </w:r>
    </w:p>
    <w:p>
      <w:pPr>
        <w:spacing w:after="0" w:line="128"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Amwell Carepoint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devices enable healthcare providers to leverage proprietary carts and transform existing tablets and TVs into digital access points in clinical settings, helping to address personnel shortages and access limitations. Our proprietary Carepoint devices coupled with our Carepoint Calling technology enables providers to deliver digital care into clinical care locations, such as the emergency department, community hospitals, clinics, and hospital-at-home, as well as into community settings such as retail stores, employer sites, skilled nursing facilities, correctional facilities, and schools. Our Virtual Nursing and patient monitoring (eSitter) offerings leverage these Carepoint devices to augment on-site nurse teams with virtual staff, and leverage technology to increase patient safety and nurse efficiencies. These devices are built to rigorous safety and clinical standards and have advanced features including far-end camera controls, fleet monitoring and connectivity to a variety of peripherals, including diagnostic scopes and heart, lungs, stomach and ear examination tools. Our Carepoint portfolio supports a range of uses, including multi-way video, phone connectivity and secure messaging to bring care teams to patients and members in the most efficient way possible.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Services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offer a full suite of paid, supporting services to our clients to enable their hybrid care strategy. AMG contracts with providers across primary and urgent care, behavioral health therapy, acute psychiatry, lactation counseling, and nutrition to provide licensed, reimbursable medical staffing for digital care delivery to our clients. AMG can be used to augment provider capacity during nights, weekends or times of high demand. This nationwide network of clinicians can also fill gaps in specialist coverage in acute hospital settings and enable expanded geographic coverage in cases where state-level licensing requirements restrict the ability of our clients’ own physicians to treat patients outside of their own geographic locations. Additionally, we provide professional services to facilitate implementation, workflow design, systems integration, and service expansion for all of our products. To help our clients promote adoption and utilization of our products, we offer patient and provider engagement services.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U.S. Digital Care Market; Global Expansion Opportunity</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believe the annual total addressable market (TAM) for our solutions is substantial and increasing. We estimate the aggregate market size of the subsegments applicable to our business in the U.S. at approximately $94 billion. This includes:</w:t>
      </w:r>
    </w:p>
    <w:p>
      <w:pPr>
        <w:spacing w:after="0" w:line="5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Virtual Care — </w:t>
      </w:r>
      <w:r>
        <w:rPr>
          <w:rFonts w:ascii="Times New Roman" w:cs="Times New Roman" w:eastAsia="Times New Roman" w:hAnsi="Times New Roman"/>
          <w:sz w:val="18"/>
          <w:szCs w:val="18"/>
          <w:color w:val="auto"/>
        </w:rPr>
        <w:t>virtual urgent care, virtual office visits, virtual home health, and tele-behavioral health;</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Services — </w:t>
      </w:r>
      <w:r>
        <w:rPr>
          <w:rFonts w:ascii="Times New Roman" w:cs="Times New Roman" w:eastAsia="Times New Roman" w:hAnsi="Times New Roman"/>
          <w:sz w:val="18"/>
          <w:szCs w:val="18"/>
          <w:color w:val="auto"/>
        </w:rPr>
        <w:t>patient and member engagement, specialty carveout management services, provider enablement, health and wellness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and patient advocacy;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ind w:left="1020" w:right="5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and Platforms — </w:t>
      </w:r>
      <w:r>
        <w:rPr>
          <w:rFonts w:ascii="Times New Roman" w:cs="Times New Roman" w:eastAsia="Times New Roman" w:hAnsi="Times New Roman"/>
          <w:sz w:val="18"/>
          <w:szCs w:val="18"/>
          <w:color w:val="auto"/>
        </w:rPr>
        <w:t>telehealth technology, population health, health information exchange and interoperability products,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remote patient monitoring, and clinical decision support.</w:t>
      </w:r>
    </w:p>
    <w:p>
      <w:pPr>
        <w:spacing w:after="0" w:line="160"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The TAM in the U.S. for Converge, our hybrid care platform, is the value of the above sub-segments of the market that can be captured through technology. We believe the TAM of our hybrid care platform is approximately $31 billion and will grow to roughly $50 billion over the next four years.</w:t>
      </w:r>
    </w:p>
    <w:p>
      <w:pPr>
        <w:spacing w:after="0" w:line="140"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In addition, the TAM for virtual clinical services, which we offer through our platform via AMG to customers who don’t have their own clinical supply or require supplemental clinical supply, is a material portion of the approximately $40 billion, and growing, virtual care market opportunity.</w:t>
      </w:r>
    </w:p>
    <w:p>
      <w:pPr>
        <w:spacing w:after="0" w:line="140"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In the health plan space, there are more than 290 million lives enrolled in insurance plans that we have identified as potential subscribers to our platform. We also have identified 930 health systems that could benefit from our platform for patient care as well as provider-to-provider consults.</w:t>
      </w:r>
    </w:p>
    <w:p>
      <w:pPr>
        <w:spacing w:after="0" w:line="14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intend to grow our addressable market through continued expansion into new and existing market segments, which we believe represents a significant opportunity, as well as new global geographies. The addition of our SilverCloud® by Amwell® offering significantly expanded our international market opportunity in the behavioral health space, which is estimated to be $23 billion internationally.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view competitors as those companies whose primary business is developing and marketing virtual care and digital care platforms and services. Competition focuses on, among other factors, technology, breadth and depth of functionality, range of associated services, operational experience, client support, extent of client base, and reputation. Our competitors include:</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telehealth players such as Teladoc and Caregility;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Consumer-focused telehealth competitors such as Included Health and MDLive;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players leveraging horizontal platforms into the healthcare vertical, such as Microsoft, Amazon, and Zoom;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nursing offerings, such as Care.AI and Avasure;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EHR providers, including Epic, Oracle Health, Allscripts and athenahealth;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patient engagement companies like Twistle, GetWell Loop, and Memora Health;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behavioral health companies, like Ableto, Headspace, Array, and Neuroflow.</w:t>
      </w:r>
    </w:p>
    <w:p>
      <w:pPr>
        <w:spacing w:after="0" w:line="22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While we consider the companies above to be competitors, many are also partners or potential partners. For example, in the health system market, we routinely partner and/or integrate with EHR vendors to enhance care delivery for our customers. As we continue to open our platform to third-party innovators, we believe erstwhile competitors will increasingly become collaborators and integration points.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breadth of our existing customer ecosystem, our unique customer footprint with both payers and providers, the depth of our platform, and our business-to-business focus on promoting existing healthcare brands and integrating with multiple platforms increases the likelihood that stakeholders seeking to develop digital and hybrid care solutions will increasingly choose to collaborate with Amwell.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Supporting the Full Continuum of Care with Synchronous, Asynchronous and Automated Capabilities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platform enables clients to deploy and configure care pathways that blend a range of technology-enabled care modalities. For example, a patient may benefit from ongoing digital-based therapy to assist with managing a behavioral health issue, chronic condition or recovery post hospital discharge. Yet, this patient can also be escalated to a synchronous session with a care provider via video using algorithms our clients configure and/or patient choice. The mix of automated,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 w:name="page8"/>
    <w:bookmarkEnd w:id="7"/>
    <w:p>
      <w:pPr>
        <w:ind w:right="100"/>
        <w:spacing w:after="0" w:line="282" w:lineRule="auto"/>
        <w:rPr>
          <w:sz w:val="20"/>
          <w:szCs w:val="20"/>
          <w:color w:val="auto"/>
        </w:rPr>
      </w:pPr>
      <w:r>
        <w:rPr>
          <w:rFonts w:ascii="Times New Roman" w:cs="Times New Roman" w:eastAsia="Times New Roman" w:hAnsi="Times New Roman"/>
          <w:sz w:val="18"/>
          <w:szCs w:val="18"/>
          <w:color w:val="auto"/>
        </w:rPr>
        <w:t>digital, and virtual care capabilities Amwell offers is unique and enables our clients to operate more efficiently and effectively while adhering to their own clinical pathways.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Enabling Our Clients Own Provider Networks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platform enables clients to leverage their own provider networks to treat their patients and members using virtual and digital modalities across the care continuum. As of December 31, 2023, approximately 99,500 active client providers (as defined in Item 7 below) utilized our enterprise platform and software solutions to address their patients’ needs, from primary care to chronic care management to specialty care. We offer provider training, outreach, and best practices to drive increased patient acquisition and retention, appropriate utilization, and better outcomes. This ability for healthcare organizations to seamlessly enable their own trusted providers and networks to deliver care on our best-in-class hybrid care platform – and the ability to supplement with our clinical services using AMG as needed - differentiates us in the industry.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and Scalable Suite of Solutions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scalable solutions allow us to grow with the digital and hybrid care delivery needs of our clients. Our platform is designed to be used by all, from the small innovative health systems, like El Camino Health, ‘the hospital of Silicon Valley’, to the largest health organizations like Elevance Health, The National Health Service in the United Kingdom and the U.S. Military Health System. Many clients start by providing a single (or several) use case(s), such as on demand urgent care, or start with a subset of their members or patients. As our clients expand their hybrid care delivery, they can add components that support additional specialties or specific use cases across broader patient and/or member populations. As we expand our capabilities, our solutions, programs and Carepoint offerings allow us to partner with clients that are new to hybrid care delivery as well as with rapidly expanding digital and hybrid care market leaders.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for Third-Party and First-Party Applications and Solutions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Converge enables clients to add their own digital assets as well as best-in-class third party solutions and activate members and patients directly from our platform. For example, clients can make care programs, such as digital cognitive behavioral therapy or chronic condition management, available for providers to share with patients directly from within a virtual visit. Conversely, patients can be escalated to synchronous virtual care or directed to a client’s own physicians and solutions from automated continuity of care experiences based on client implemented rules and protocols. We believe our platform’s ability to seamlessly integrate Amwell capabilities, client capabilities, and third party capabilities versus forcing clients to either manage numerous point solutions or get locked into a single full stack vendor solution is another strong differentiator in our industry.</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bring as much value to our clients as possible, Amwell continues to enhance the ability to deliver third-party and first-party solutions to complement our own solutions. Payers and health systems are increasingly expressing their desire to work with fewer technology partners who can deliver more. This trend is driving our strategy to create a digital formulary as part of our platform to provide high-quality vetted apps, services and products developed by leading innovators as well as by our clients themselves.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Client-Branded, Embedded Digital Experiences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configurable platform and its associated APIs and widgets encourage our clients to deploy digital and hybrid care programs under their own brands, unlike telehealth and virtual care players who promote programs under their brands. Our differentiated approach empowers our clients to leverage the trust associated with their market-leading brands while we provide the core technology and clinical support to enable quality patient and member care. We are aligned with clients and partner with them to configure tailored digital care programs instead of competing with them for their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Integration Enabling Efficient Delivery of Hybrid Care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platform integrates with clients’ care pathways and workflows using our APIs and embeddable software widgets. In addition to enabling workflows within client EHR systems such as Epic and Oracle Health, our platform enables client care via “digital front doors”, mobile apps, and nurse lines for patient access. In the case of EHR workflows, providers typically prefer launching Amwell solutions within their EHR (e.g., Epic Hyperspace). For patients, Amwell enables a highly configured experience, including single sign on (SSO) from a patient portal (e.g., Epic MyChart) or from a dedicated portal experience (e.g., the health plan’s member portal). We also integrate with back-end systems to streamline administrative functions such as enrollment, clinical management, payment, claims administration, e-prescribing, follow-up and data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t>interchanges such as picture archiving and communication systems (“PACS”). For our clients, this functionality eases administrative burdens and supports physician workflows. For patients and members, our embedded functionality simplifies hybrid care delivery directly into the portals and systems those individuals are already utilizing.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Connected Ecosystem of Health Systems, Health Plans and Innovators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partner with many of the world’s largest and most trusted health systems, health plans and healthcare innovators. Our broad range of credentialed AMG and client healthcare providers is attractive to health plans seeking to expand their care networks, while health systems are drawn to a network connected to many health plans that allows for the possibility to extend their services through the digital distribution of their care. For example, a large health plan client is using Converge in a program that seeks to close 20 gaps in care commonly seen across different high priority populations. Our ecosystem benefits from scale in our client base across each stakeholder vertical. For example, we currently provide product and services to many Blues plans. We also facilitate a Blue User Group, a venue in which representatives from those Blue plans share best practices and identify common needs for innovation.</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ecosystem also is strengthened by our partnerships with innovators that bring new services and capabilities to our platform. For example, our partnership with Google allows us to offer captions and translation capabilities for better provider-to-patient communication and our joint venture with Cleveland Clinic, The Clinic, enables second opinion programs through our platform. Finally, the breadth of our ecosystem has enabled a deep understanding of health system and health plan workflows and reimbursement arrangements between our clients, allowing us to configure our platform to meet their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Nationwide, On-Demand Medical Services to Support Our Clients’ Digital Care Solutions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part of our mission to enable our clients to deliver hybrid care, we partner with AMG, our affiliated network of multi-disciplinary providers with 24/7/365 coverage across 50 states. AMG offers medical staffing solutions for virtual care services that can integrate with and extend our clients' existing care capabilities. Beyond general practitioners, our AMG roster includes approximately 1,400 active behavioral health providers. In addition to AMG, we continue to expand our digital care solutions for chronic condition management with strategic partners in the areas of musculoskeletal, dermatology, cardiometabolic and second opinion services.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health plans, AMG provides essential nationwide clinical coverage for members across a broad range of specialties. For health systems, most require clinical support for their initial programs and then transition to weekend or evening coverage as their clinicians are provisioned. For rural health systems or community hospitals, AMG's clinical services provide wraparound care or access to critical services like telestroke or psychiatry when they may not have any providers to meet these patients' needs. During natural disasters or emergent health events, AMG can quickly augment staffing. By delivering access to on-demand medical staffing, we believe AMG brings trust and stability to our clients’ hybrid care delivery solutions.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management team has extensive operational experience in healthcare, technology and services. Our co-founders are experienced entrepreneurs with a proven track record of successfully founding, growing and leading multiple companies. Our executive leadership team has an average of 20 plus years of experience. We believe our management team’s extensive business experience, along with the backing of key strategic healthcare investors, sets Amwell apart in the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Greater Adoption with our Existing Clients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continue to drive greater adoption among existing clients in five ways:</w:t>
      </w:r>
    </w:p>
    <w:p>
      <w:pPr>
        <w:spacing w:after="0" w:line="115" w:lineRule="exact"/>
        <w:rPr>
          <w:sz w:val="20"/>
          <w:szCs w:val="20"/>
          <w:color w:val="auto"/>
        </w:rPr>
      </w:pPr>
    </w:p>
    <w:p>
      <w:pPr>
        <w:jc w:val="both"/>
        <w:ind w:left="1020" w:right="10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the populations to which our clients offer services</w:t>
      </w:r>
      <w:r>
        <w:rPr>
          <w:rFonts w:ascii="Times New Roman" w:cs="Times New Roman" w:eastAsia="Times New Roman" w:hAnsi="Times New Roman"/>
          <w:sz w:val="18"/>
          <w:szCs w:val="18"/>
          <w:color w:val="auto"/>
        </w:rPr>
        <w:t>—Health plans may begin by offering digital care offerings to a subset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membership and over time expand to more members. Health systems may start with a single hospital or region and then expand system wide.</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adoption within existing populations</w:t>
      </w:r>
      <w:r>
        <w:rPr>
          <w:rFonts w:ascii="Times New Roman" w:cs="Times New Roman" w:eastAsia="Times New Roman" w:hAnsi="Times New Roman"/>
          <w:sz w:val="18"/>
          <w:szCs w:val="18"/>
          <w:color w:val="auto"/>
        </w:rPr>
        <w:t>—We see significant increases in utilization among clients as providers and patients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more aware of and comfortable with digital care, and as clients have embedded virtual care more fully into their operations. We use targeted patient and provider engagement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left="1020"/>
        <w:spacing w:after="0"/>
        <w:rPr>
          <w:sz w:val="20"/>
          <w:szCs w:val="20"/>
          <w:color w:val="auto"/>
        </w:rPr>
      </w:pPr>
      <w:r>
        <w:rPr>
          <w:rFonts w:ascii="Times New Roman" w:cs="Times New Roman" w:eastAsia="Times New Roman" w:hAnsi="Times New Roman"/>
          <w:sz w:val="18"/>
          <w:szCs w:val="18"/>
          <w:color w:val="auto"/>
        </w:rPr>
        <w:t>campaigns, best practices training as well as operational support to further drive an increase in usage across our platform.</w:t>
      </w:r>
    </w:p>
    <w:p>
      <w:pPr>
        <w:spacing w:after="0" w:line="115" w:lineRule="exact"/>
        <w:rPr>
          <w:sz w:val="20"/>
          <w:szCs w:val="20"/>
          <w:color w:val="auto"/>
        </w:rPr>
      </w:pPr>
    </w:p>
    <w:p>
      <w:pPr>
        <w:ind w:left="1020" w:right="20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Adding new solutions</w:t>
      </w:r>
      <w:r>
        <w:rPr>
          <w:rFonts w:ascii="Times New Roman" w:cs="Times New Roman" w:eastAsia="Times New Roman" w:hAnsi="Times New Roman"/>
          <w:sz w:val="18"/>
          <w:szCs w:val="18"/>
          <w:color w:val="auto"/>
        </w:rPr>
        <w:t>—Most clients begin with one or two solutions for hybrid care delivery, but then expand into additional use case.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plans, additional programs are typically focused around virtual primary care, behavioral health services, and a range of condition management services that meet the needs of employer clients as well as Medicare/caid Advantage. For health systems, additional solutions typically include an expanding range of specialty care use cases across the care continuum.</w:t>
      </w:r>
    </w:p>
    <w:p>
      <w:pPr>
        <w:spacing w:after="0" w:line="71"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Enabling the sale of new solutions and services for clients to sell to their consumers and B2B customers </w:t>
      </w:r>
      <w:r>
        <w:rPr>
          <w:rFonts w:ascii="Times New Roman" w:cs="Times New Roman" w:eastAsia="Times New Roman" w:hAnsi="Times New Roman"/>
          <w:sz w:val="18"/>
          <w:szCs w:val="18"/>
          <w:color w:val="auto"/>
        </w:rPr>
        <w:t>– Many clients benefit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scalable and customizable platform to create high value programs to sell into their clients, whether it be virtual primary care staffed by their own providers, chronic care management programs or retail urgent care. Our future-ready, customizable and configurable enterprise platform allows clients to target specific populations and opens up new revenue sources, driving higher value.</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their Carepoint suite</w:t>
      </w:r>
      <w:r>
        <w:rPr>
          <w:rFonts w:ascii="Times New Roman" w:cs="Times New Roman" w:eastAsia="Times New Roman" w:hAnsi="Times New Roman"/>
          <w:sz w:val="18"/>
          <w:szCs w:val="18"/>
          <w:color w:val="auto"/>
        </w:rPr>
        <w:t>—Clients typically increase the number of Carepoint devices over time, as they penetrate additional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expand their own network of digital care delivery. As the number of Carepoint connections rise, utilization goes up and our clients recognize additional value. We intend to continue to promote our proprietary Carepoint devices and apps across our client base as we believe that expanded Carepoint offerings such as our TV kits will further expand usage of Converge.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Platform to Continue to Expand Capabilities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continue to invest in our enterprise platform and software, developing new technologies, capabilities and programs that meet the broadening needs of our clients. We also partner with our clients and other stakeholders to build new features, modules and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into International Markets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signing our first major international client in 2017 - Meuhedet Health Services in Israel, Amwell has expanded globally through both acquisition and organic growth. Today, we have clients using Amwell services on five (5) continents, including our first client in South Africa – Discovery Health. In 2023, we expanded new and current client agreements and implementations in Australia, Ireland and the UK. While the majority of our international clients are using SilverCloud by Amwell behavioral health programs, we sold our first Automated Care programs outside of the U.S. in 2023 and are exploring opportunities to expand Converge outside of the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Acquisitions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comprehensive enterprise platform and software services enable us to selectively pursue strategic and complementary assets to support our clients’ needs. We have a track record of successfully identifying and integrating acquisitions and continue to evaluate acquisition opportunities that complement our strong organic growth opportunities.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primary product we sell is access to our enterprise platform and software via recurring subscriptions. We sell additional related services and solutions via configurable modules and programs and Carepoint devices and services, including implementation, engagement, cart fleet management and integration. These additional services can be added to any base platform subscription. We enable the success of the software we sell by also selling access to clinical services on a fee-for-service basis on our platform and through our direct-to-consumer app.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Operations</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7"/>
          <w:szCs w:val="17"/>
          <w:color w:val="auto"/>
        </w:rPr>
        <w:t>Our platform, software and services are designed to provide superior patient and provider experiences. Our backend architecture also supports security, data exchange, integration with EHRs, other data repositories and third-party devices. Finally, we offer a portfolio of services to our clients to support their digital care platform. Converge includes clinical services capabilities designed to attract and retain patients, drive operational efficiency, encourage physician engagement, enable digital care delivery for health systems and engage members and lower the cost of care for health plans.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Services Capabilities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Digital Practices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 care is organized into online practices, analogous to a multi-specialty hospital building, allowing patients to choose from a variety of clinical offerings, ranging from primary to specialty care and from wellness to disease. Practices can be organized by clinical specialty (e.g., primary care, therapy, psychiatry, nutrition), by disease state (e.g., diabetes, asthma, hypertension) or by program type (e.g., smoking cessation, weight loss, wellness). Each practice typically represents a distinct clinical use case with its own associated client branding, patient workflows, associated providers, eligibility and pricing. These practices enable clients to attract patients and members and drive revenue with services they offer.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Visits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urgent care and walk-in clinic type use cases, patients can seek care on-demand whenever coverage is available (currently 50 states and D.C., 24/7 for urgent care via AMG providers). Patients are routed to the next available provider and can review the provider's credentials and biographical information before deciding whether to connect.</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For non-urgent cases, including primary care and specialty care, patients can schedule an appointment time. Appointments can be self-scheduled by patients or scheduled on their behalf by an administrator or provider. Provider availability can be synchronized with a client’s master EHR schedule using our scheduling API, eliminating the need for duplicate, and potentially conflicting scheduling, systems for physical and online appointments.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Alternatively, quick-link scheduled visits functionality allows providers to initiate both scheduled and on-demand visits by sending an email or text message invitation. Visit requests can also be triggered automatically by client-configured analytics and alarms using our Telehealth Now web service. Within a few clicks, patients go from email to live video visit, without ever having to manually register or download any software. This provider-initiated visit functionality is useful for both follow-up and more general population health and care management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Brokerage and Utilization Efficiency</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patented, real-time brokerage engine matches each patient with the list of available and eligible providers, based on licensing requirements and client-configurable clinical, business and regulatory rules. In this way, we are distinguished from other “callback” models where provider choice is much more limited and is unable to occur real-time.</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When patients seek services, one or more potentially available providers are digitally paged or notified based on client-configurable business rules. The first provider to accept the visit request is assigned the patient. Together, these matching technologies ensure the most efficient use of available providers, allowing even busy clinicians to schedule in virtual visit patients between in-person appointments, after hours, or in place of no-shows and cancellations.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Platform Design for Converge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User Experience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Converge platform is designed to be a consistent experience across any application, workflow or access point for both providers and patients. The entire use experience is brandable by the client, letting providers and patients know they are meeting under the trusted brand of the healthcare organization they trust, driving brand affinity. Additionally, the modular architecture allows for swappable exchange of the entire A/V experience, allowing different vendors or capabilities such as payments or identity management to be quickly integrated in response to client need.</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user experience also has been designed to allow a patient to easily join a visit through Click to Join features: patients can join video visits by clicking on an email or text message, no registration or download required. Tech checks ensure adequate connectivity, browser compatibility and the correct A/V setting, minimizing the risk of dropped or interrupted visits.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Reliability</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Converge has been designed to be secure and scalable; testing is automated and includes security scans, all vetted by our QA team. These scans are also vetted by our dedicated cybersecurity team, which includes security experts who monitor and address issues around the clock. We also have a full, evidence-grade digital forensics system that provides real-time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 w:name="page12"/>
    <w:bookmarkEnd w:id="11"/>
    <w:p>
      <w:pPr>
        <w:ind w:right="300"/>
        <w:spacing w:after="0" w:line="266" w:lineRule="auto"/>
        <w:rPr>
          <w:sz w:val="20"/>
          <w:szCs w:val="20"/>
          <w:color w:val="auto"/>
        </w:rPr>
      </w:pPr>
      <w:r>
        <w:rPr>
          <w:rFonts w:ascii="Times New Roman" w:cs="Times New Roman" w:eastAsia="Times New Roman" w:hAnsi="Times New Roman"/>
          <w:sz w:val="18"/>
          <w:szCs w:val="18"/>
          <w:color w:val="auto"/>
        </w:rPr>
        <w:t>analysis using multiple cloud forensic tools to our cybersecurity team. Amwell adheres to what we believe to be the highest security standards in the industry, using Auth0 with OAuth 2.0 SSO webRTC for in-browser video and Google’s Healthcare API for secure and standardized data storage. These security capabilities ensure that clients’ and patients' data are held to high standards, limiting the impact of and ability for cyberattacks.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Scalability and Innovation</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Converge allows providers to easily expand their use of digital care, taking advantage of highly scalable managed services from best-in-class technology partners. A serverless multi-cloud microservices architecture lets Amwell adapt to any scale of processing power needed to address visit volumes. Clients can quickly implement a unique experience for patients and providers and embed any workflow in their own branded web and mobile solutions with low code / no code custom development. As digital care delivery continues to evolve, Amwell clients and partners have the flexibility and agility to scale virtual care 10x, or 1,000x, as needed.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Interoperability</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Converge is built on FHIR (“Fast Healthcare Interoperability Resources”) – not an antiquated, proprietary data model that needs to be translated to HL7 standards. All data within the platform works with healthcare organizations’ systems and any EHR. Being FHIR-native allows the platform to be interoperable with the entire healthcare ecosystem and creates an open platform for third-party developers.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 Framework</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opened Converge to others to build on and expand its abilities. The platform can host and operate applications created by outside developers, whether to serve their own organizations or offer innovations to our large ecosystem. The FHIR APIs at the core of the platform can invoke and give context to any external service, which can then be hosted inside the digital care experience, right in the field of view between the patient and the clinician. This app framework allows clients to deliver better, more efficient access to effective care, helping to close gaps in care, enhance treatment and better enable provider-to-patient relationships.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Back-end Architecture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Scalable, Hosted Environment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secure, redundant data centers designed with high levels of availability, redundant subsystems, and compartmentalized security zones. With our platform as a Service digital care solution, there is no need for clients to purchase hardware, install and upgrade software, or manage system operations. The hosted approach also ensures that visit capacity scales without requiring client-side interventions or upgrades. We manage hosting operations and security from our NOC, which is monitored 24 hours a day. From an operations perspective, we historically deliver high levels of system uptime across our platform, maintained through our 24/7 Cyber Command Center that monitors our platform around the clock.</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Due to the sensitive nature of our client and patient data, we have invested heavily in data security and protection. We utilize a multi-tiered security architecture. All data is secured both in motion and at rest using the latest encryption technologies. Our C3 command center constantly monitors for vulnerabilities and intrusions, including using third-party vulnerability and penetration testing. We believe that all clinical data usage is HIPAA compliant. We maintain HITRUST, ISO 27001 and PCI compliance certifications. Our system security is regularly evaluated and approved by some of the largest health plans, health systems, financial institutions and technology companies in the world. Amwell has deployed its SilverCloud product on the Defense Health Agency’s production environment as part of our continued work in the Federal sector. We believe this underscores the advanced security posture that Amwell maintains.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and Analytics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provide a range of standard administrative, utilization and clinical reports. More advanced analytics are user-accessible via our Looker data exploration and discovery business intelligence tool.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Branding and Embeddable Experiences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support client branding and unique client experiences by offering the ability to fully brand our software as well as to use our APIs and embeddable widgets for both the patient and provider experiences, covering the relevant web and mobile interfaces (iOS and Android). The APIs and embeddable widgets, in turn, allow clients to seamlessly embed our end-to-end patient and provider digital care functionality in their own websites, software and mobile applications. Such embedding is designed to give patients and providers a consistent user experience without having to switch tabs or windows, additional logins or additional app downloads.</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example, some health systems have embedded our solutions in their own patient portals. From a provider perspective, clients are embedding the provider virtual care workflow in their EHRs so that online visits are as easy to schedule and conduct as physical visits.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sell our digital care solution through our direct sales organization. Our direct sales team is comprised of enterprise-focused field sales professionals who are organized principally by geography and specialty overlays. Our sales operations staff, who support our direct sales team, includes product technology experts, lead generation professionals and sales data experts. We maintain relationships with key industry participants including media publications, industry analyst firms, benefit consultants, brokers, group purchasing organizations and health plan and health system partners.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Channel partners also play a key role in marketing and selling our products to our client base, primarily focusing on Converge and Carepoint devices. Channel partners may shorten our sales cycle and lower our client acquisition costs. For example, through EHR channel partners we are able to natively embed our technology into existing health system technology infrastructure which, as a competitive differentiator, may lead to a higher win rate. Carepoint channel partners primarily consist of value-added resellers that have established relationships with health systems and health plans. We typically generate lower revenues in connection with sales obtained through these channel partner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Quality</w:t>
      </w:r>
    </w:p>
    <w:p>
      <w:pPr>
        <w:spacing w:after="0" w:line="121"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AMG seeks to provide the highest level of clinical quality and consistency of care. All medical professionals go through a rigorous onboarding and credential checking process. When practicing online, doctors are required to deliver care in a medically appropriate setting. We offer similar best practices and training to our clients who utilize their own providers. Patients consistently rate AMG providers highly, with an average rating of 4.9 out of 5.0.</w:t>
      </w:r>
    </w:p>
    <w:p>
      <w:pPr>
        <w:spacing w:after="0" w:line="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AMG's clinical operations team works to standardize virtual medical treatment by creating and maintaining standard operating procedures. This team also monitors waiting room queues and can reassign providers and patients as needed. The team uses analytics to test for appropriateness and efficiency of care as well as prescribing behaviors. AMG's team of nurses uses algorithms to identify potential quality issues and conducts manual reviews of clinical cases, utilizing a random audit process in addition to targeted audits, to ensure high quality care is consistently delivered. Finally, a monthly scorecard is distributed to all AMG providers showing their individual and comparative performance. For urgent care, the median wait time is less than 4 minutes for the 24 months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continue to differentiate and enhance our platform and offerings depends, in large part, on our capacity to continue to introduce new services, technologies, features and functionality. Our research and development team is responsible for the design, development, testing and certification of our solution. We also maintain a development office in Ramat Gan, Israel, to support our international partners and to serve as an additional development resource. In addition, we utilize certain third-party development services to perform application development. We focus our research and development spend on developing new products and further enhancing the usability, functionality, reliability, performance and flexibility of our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Physicians and Healthcare Professionals</w:t>
      </w:r>
    </w:p>
    <w:p>
      <w:pPr>
        <w:spacing w:after="0" w:line="121" w:lineRule="exact"/>
        <w:rPr>
          <w:sz w:val="20"/>
          <w:szCs w:val="20"/>
          <w:color w:val="auto"/>
        </w:rPr>
      </w:pPr>
    </w:p>
    <w:p>
      <w:pPr>
        <w:jc w:val="both"/>
        <w:ind w:right="560" w:firstLine="509"/>
        <w:spacing w:after="0" w:line="261" w:lineRule="auto"/>
        <w:rPr>
          <w:sz w:val="20"/>
          <w:szCs w:val="20"/>
          <w:color w:val="auto"/>
        </w:rPr>
      </w:pPr>
      <w:r>
        <w:rPr>
          <w:rFonts w:ascii="Times New Roman" w:cs="Times New Roman" w:eastAsia="Times New Roman" w:hAnsi="Times New Roman"/>
          <w:sz w:val="18"/>
          <w:szCs w:val="18"/>
          <w:color w:val="auto"/>
        </w:rPr>
        <w:t>Due to the prevalence of the corporate practice of medicine doctrine (as defined in Item 1A. Risk Factors), including in the states where we predominantly conduct our business, we provide administrative and management services to entities associated with AMG (which are consolidated subsidiaries from a financial reporting perspective) pursuant to which those entities reserve exclusive control and responsibility for all aspects of the practice of medicine and the delivery of medical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right="20"/>
        <w:spacing w:after="0" w:line="258" w:lineRule="auto"/>
        <w:rPr>
          <w:sz w:val="20"/>
          <w:szCs w:val="20"/>
          <w:color w:val="auto"/>
        </w:rPr>
      </w:pPr>
      <w:r>
        <w:rPr>
          <w:rFonts w:ascii="Times New Roman" w:cs="Times New Roman" w:eastAsia="Times New Roman" w:hAnsi="Times New Roman"/>
          <w:sz w:val="18"/>
          <w:szCs w:val="18"/>
          <w:color w:val="auto"/>
        </w:rPr>
        <w:t>services. We contract to provide administrative services through business support agreements (“BSAs”) with AMG’s provider groups. AMG in turn contracts with providers. Our business support agreements typically run for ten years and call for us to be paid an annual fee in exchange for managing all administrative aspects of the medical practice in question. It has been the historical practice of the parties to review and adjust this fee on an annual basis. In addition, we have signed direct transfer agreements with the AMG entities. These direct transfer agreements outline the conditions under which we have the right to change the ownership of the clinical entity to a different third party.</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2012, we entered into a joint venture with an affiliate of Elevance Health, Inc. (formerly Anthem, Inc.) to form National Telehealth Network, LLC (“NTN”). NTN, which is consolidated in our financial statements, is greater than 50% owned by us. NTN is managed by a six (6) person Board of Managing Directors, with the Chairman of the Board appointed by us. NTN’s mandate is to oversee the clinical and administrative operations of Online Care Group, a clinical entity within the AMG family. Online Care Group is dedicated to providing clinical consults on Elevance Health’s LiveHealth Online virtual care platform to Elevance Health members and other users of that platform.</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a BSA agreement, NTN has agreed to provide exclusive administrative, management and other business support services to Online Care Group. The non-medical functions and services NTN provides under the BSA include the maintenance of medical, billing and accounting records, legal, human resources and the administration of quality assurance, and administration of a risk management program. Additionally, NTN is required to maintain medical malpractice insurance for covered providers as well as appropriate general liability, directors and officers, workers compensation and employment practices insurance. The BSA had an original 10-year term that automatically renewed for an additional 5-year term expiring in February 2028. The BSA automatically renews for 5-year renewals, unless earlier terminated upon mutual agreement of the parties or unilaterally by a party following a material default under the BSA by the non-terminating party. NTN, in turn, has subcontracted all of its responsibilities under the BSA between NTN and Online Care Group to Amwell, under substantially similar terms.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 has signed direct BSAs with the other AMG affiliated entities to provide similar administrative and management services for a fixed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regulations and international regulations in the jurisdictions in which we do business. Our ability to operate profitably will depend in part upon our ability, and that of AMG's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December 31, 2024, including a waiver for geographic site restrictions (patient may be located at home), the expansion of eligible provider types, and coverage for audio-only consults.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it is uncertain whether regulatory changes adopted in response to the COVID-19 pandemic will be preserved in the future, we believe that a return to the pre-pandemic regulatory regimes would not have a material negative impact on our commercial agreements, visit volume or visit revenue. In fact, we believe that such a return would benefit the Company as the renewed enforcement of HIPAA regulations may force many marginal digital care platforms out of the marketplace, thereby lessening our competition.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Care Provider Licensing, Medical Practice, Certification and Related Laws and Guidelines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practice of medicine is subject to various federal, state and local certification and licensing laws, regulations, approvals and standards, relating to, among other things, the adequacy of medical care, the practice of medicine (including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provision of remote care), equipment, personnel, operating policies and procedures and the prerequisites for the prescription of medication and ordering of tests. The application of some of these laws to digital care is unclear and subject to differing interpretation.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Clinicians who provide professional medical services to a patient via digital care must, in most instances, hold a valid license to practice medicine in the state in which the patient is located. We have established systems for ensuring that AMG and client clinicians are appropriately licensed under applicable state law and that their provision of digital care to our members occurs in each instance in compliance with applicable rules governing digital care. Failure to comply with these laws and regulations could result in licensure actions against the clinicians, our services being found to be non-reimbursable, or prior payments being subject to recoupments and can give rise to civil, criminal or administrative penalties.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contract with physicians or physician-owned professional associations and professional corporations to provide access to our enterprise platform to them and their patients. We have entered into management services contracts with AMG-affiliated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including those of New York, Texas and California, that prohibit fee splitting or the practice of medicine by lay entities or persons and that are intended to prevent unlicensed persons from interfering with or influencing a physician’s professional judgment. Activities other than those directly related to the delivery of healthcare may be considered an element of the practice of medicine in many states. Under the corporate practice of medicine restrictions of certain states, decisions and activities such as scheduling, contracting, setting rates and the hiring and management of non-clinical personnel may implicate the restrictions on the corporate practice of medicine.</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State corporate practice of medicine and fee splitting laws and rules vary from state to state and are not always consistent among states.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digital care to a resident of the state. Thus, regulatory authorities or other parties, including our providers, may assert that, despite these arrangements, we are engaged in the corporate practice of medicine or that our contractual arrangements with affiliated physician groups constitute unlawful fee splitting. In such event, failure to comply could lead to adverse judicial or administrative action against us and/or our affiliated providers, civil, criminal or administrative penalties, receipt of cease-and-desist orders from state regulators, loss of provider licenses, the need to make changes to the terms of engagement of our providers that interfere with our business, and other materially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federal self-referral prohibitions, commonly known as the Stark Law. Where applicable, this law prohibits a physician from referring Medicare patients for “designated health services” such as laboratory and radiology services that are furnished at an entity if the physician or a member of such physician’s immediate family has a “financial relationship” with the entity, unless an exception applies. Penalties for violating or participating in a scheme to circumvent the Stark Law include denial of payment, mandatory refunds, civil monetary penalties, and exclusion from the federal health care programs.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federal False Claims Act (described below) based on the contention that a provider impliedly certifies compliance with all applicable laws, regulations and other rules when submitting claims for reimbursement. A determination of liability under the Stark Law could have a material adverse effect on our business, financial condition and results of operations.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the federal Anti-Kickback Statute.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right="20"/>
        <w:spacing w:after="0" w:line="253" w:lineRule="auto"/>
        <w:rPr>
          <w:sz w:val="20"/>
          <w:szCs w:val="20"/>
          <w:color w:val="auto"/>
        </w:rPr>
      </w:pPr>
      <w:r>
        <w:rPr>
          <w:rFonts w:ascii="Times New Roman" w:cs="Times New Roman" w:eastAsia="Times New Roman" w:hAnsi="Times New Roman"/>
          <w:sz w:val="18"/>
          <w:szCs w:val="18"/>
          <w:color w:val="auto"/>
        </w:rPr>
        <w:t>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False Claims Act, as discussed below. Violations of the federal Anti-Kickback Statute may result in civil monetary penalties, criminal penalties, and exclusion from participation in government healthcare programs, including Medicare and Medicaid. Imposition of any of these remedies could have a material adverse effect on our business, financial condition and results of operations. In addition to a few statutory exceptions, the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comply with current law and available interpretative guidance, as a practical matter, it is not always possible to structure our arrangements so as to fall squarely within an available safe harbor. Where that is the case, we cannot guarantee that applicable regulatory authorities will determine these financial arrangements do not violate the Anti-Kickback Statute or other applicable laws, including state anti-kickback laws.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federal False Claims Act.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 False Claim Act action, even if the claim was originally submitted appropriately. Penalties for False Claims Act violations include fines and exclusion from federally funded healthcare programs.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and State Fraud and Abuse Laws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Several states and the foreign jurisdictions in which we operate have also adopted or may adopt similar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 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HIPAA established several separate criminal penalties for making false or fraudulent claims to insurance companies and other non-governmental payers of healthcare services. Under HIPAA,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There are numerous U.S. federal and state laws and regulations related to the privacy and security of PII, including health information. In particular, HIPAA establishes privacy and security standards that limit the use and disclosure of PHI, and require the implementation of administrative, physical, and technical safeguards to ensure the confidentiality, integrity and availability of PII, including health information, in electronic form. AMG, our health system clients, and our health plan clients are all regulated as covered entities under HIPAA. We are a business associate of our covered entity clients when we are working on behalf of our covered entity clients including our affiliated medical groups and also when we are providing technology services to those clients via our enterprise platform. As a business associate, we are also directly regulated by HIPAA and are required to provide satisfactory written assurances to our covered entity clients through written business associate agreements that we will provide our services in accordance with HIPAA. Failure to comply with these contractual agreements could lead to loss of clients, contractual liability to our clients, and direct action by HHS, including monetary penalties.</w:t>
      </w:r>
    </w:p>
    <w:p>
      <w:pPr>
        <w:spacing w:after="0" w:line="17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Our management responsibilities to AMG include assisting it with its obligations under HIPAA’s breach notification rule. Under the breach notification rule, covered entities must notify affected individuals without unreasonable delay in the case of a breach of unsecured PHI, which may compromise the privacy, security or integrity of the PHI. In addition, notification must be provided to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or are in the process of adopting laws that protect the privacy and security of sensitive and personal information, including health information. These laws may be similar to or even more protective or broader than HIPAA and other federal privacy laws. Where state laws are more protective or broader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 attorneys general have brought enforcement actions and prosecuted some data breach cases as unfair and/or deceptive acts or practices under the FTC Act and similar state laws.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over time to continue to expand our operations in foreign countries through both organic growth and acquisitions. Our international operations are and will be subject to different, and sometimes more stringent, legal and regulatory requirements, which vary widely by jurisdiction, including anti-corruption laws; economic sanctions laws; various privacy, insurance, tax, tariff and trade laws and regulations; corporate governance, privacy, data protection (including the EU General Data Protection Regulation ("GDPR") and the UK General Data Protection Regulation ("UK GDPR")), data mining, data transfer, 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including the FCPA, and corresponding foreign laws, including the UK Bribery Act.</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Privacy and Data Protection Laws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a result of our presence in Europe and some of our customers being located in the European Union and the United Kingdom, we are subject to applicable international laws and regulations related to privacy and the protection of personal data (including data concerning health), in particular the GDPR and the UK GDPR. These regimes impose stringent data protection requirements and may increase both the risk of noncompliance and the costs of providing our products and services in a compliant manner.</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GDPR establishes data protection principles that govern the lawful use of personal data, requires privacy by design, and technical and organizational measures to ensure a level of security appropriate to the risk. The regulation grants rights for data subjects in regard to their personal data (including the right to be “forgotten” and the right to data portability) and enhances pre-existing rights (e.g., data subject access requests). GDPR is directly applicable in EU member states, which provides a degree of consistency. Member states may have additional national data protection and privacy laws. The UK has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adopted the UK GDPR and Data Protection Act. The GDPR and UK data protection law may increasingly diverge from each other, thereby increasing both our compliance costs and the potential for noncompliance.</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European clinical operations team and our health care clients in Europe are regulated as data controllers under GDPR. We are a data processor for our data controller clients when we are working on their behalf and also when we are providing technology services to those clients via the Amwell Platform. As a data processor, we are also directly regulated by GDPR and are required to provide satisfactory written assurances to our clients through written data processing agreements that we will provide our services in accordance with GDPR. Failure to comply with these agreements could lead to loss of clients, contractual liability to our clients, and direct action by European data protection authorities, including monetary penalties.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GDPR and similar comprehensive data protection laws apply to personal data broadly across sectors. GDPR applies to personal data relating to all categories of data subjects including patients, job applicants, employees, contractors, client workforce members, business contacts, and web visitors. We are the data controller where we decide the purpose and means of processing data for a given activity, such as recruit mentor marketing.</w:t>
      </w:r>
    </w:p>
    <w:p>
      <w:pPr>
        <w:spacing w:after="0" w:line="176"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In addition, the GDPR imposes strict rules on the transfer of personal data out of the EEA to a “third country,” including the United States. The same is true for the UK GDPR. In July 2020, the Court of Justice of the European Union (“CJEU”) limited how organizations could lawfully transfer personal data from the EEA to the United States by invalidating the EU-US Privacy Shield and imposing further restrictions on use of the standard contractual clauses, which could affect our ability to efficiently process personal data from the EEA. The EU-US Privacy Shield has been replaced by an enhanced legal mechanism for data transfer namely the EU-US Data Privacy Framework (“DPF”) and the UK Extension to the DPF. However, the validity of the DPF is likely to be challenged before the CJEU. These obligations may be interpreted and applied in a manner that is inconsistent from one jurisdiction to another and may conflict with other requirements or our practices.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have obligations under GDPR’s personal data breach notification requirements. Under the breach notification requirements, notification must be provided to the national data protection authority without undue delay and within 72 hours, unless the personal data breach is unlikely to result in a risk to the rights and freedoms of data subjects. In addition, data controllers must notify affected data subjects without unreasonable delay in the case of a personal data breach that is likely to result in a high risk to their rights and freedoms. GDPR also requires a data processor to notify its data controller clients of breaches by the data processor.</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 violation of the GDPR or UK GDPR could result in regulatory investigations, reputational damage, fines and sanctions, orders to cease or change our processing of our data, enforcement notices, assessment notices (for a compulsory audit), and civil claims, including representative actions and other class action-type litigation. Data protection authorities may initiate legal proceedings against data controllers or processors for GDPR violations. Data subjects have a right to lodge a complaint with the data protection authority and the right to an effective judicial remedy against a controller or processor. GDPR also establishes a right to compensation for damage as result of infringement. Data subjects can mandate a not-for-profit body, organization or association to exercise these remedies and to collect compensation on their behalf. In light of recent enforcement activity, and statements from data protection authorities and the European Data Protection Board, we expect continued enforcement efforts.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GDPR, in Europe we are subject to the Privacy and Electronic Communications Directive (“ePrivacyDirective”) and national implementing legislation in the UK and EU member states. The ePrivacy Directive requires that consent must be obtained to read or write data on a user’s device, for example tracking cookies, except where strictly necessary to provide the service. The ePrivacy Directive also governs unsolicited email and SMS text message marketing.</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Outside Europe we are subject to privacy and data protection laws in other locations where we operate including Australia, Canada, and South Africa. These jurisdictions have sectoral health information privacy laws and comprehensive privacy laws similar to GDPR in scope.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values are core to who we are and serve as the foundation on which we are able to build a strong organization and promote the long-term interests of our stockholders and stakeholders.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9" w:name="page20"/>
    <w:bookmarkEnd w:id="1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made meaningful progress on our ESG journey since publishing our inaugural ESG Framework in July 2022, and plan to further expand our ESG reporting capabilities into 2024. We continue formalizing our ESG approach at the direction of management and with oversight from the Board of Directors ("Board"). We are partnered with an outside consultant and are committed to steadily advancing our comprehensive ESG strategy connected to our strategic business initiatives.  Our ESG Framework is available on the investor relations page of our website. Our website, including the ESG Framework available on our website, is not incorporated by reference into this report.</w:t>
      </w:r>
    </w:p>
    <w:p>
      <w:pPr>
        <w:spacing w:after="0" w:line="1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commitment to viewing our business through an ESG lens is strong and we continue to be guided by three pillars: Our People, Our Products and Our Operations.</w:t>
      </w:r>
    </w:p>
    <w:p>
      <w:pPr>
        <w:sectPr>
          <w:pgSz w:w="11900" w:h="16838" w:orient="portrait"/>
          <w:cols w:equalWidth="0" w:num="1">
            <w:col w:w="11220"/>
          </w:cols>
          <w:pgMar w:left="320" w:top="1309" w:right="35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ESG Framework</w:t>
      </w:r>
    </w:p>
    <w:p>
      <w:pPr>
        <w:spacing w:after="0" w:line="25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Enabling our clients to achieve their goals around:</w:t>
      </w:r>
    </w:p>
    <w:p>
      <w:pPr>
        <w:spacing w:after="0" w:line="117" w:lineRule="exact"/>
        <w:rPr>
          <w:sz w:val="20"/>
          <w:szCs w:val="20"/>
          <w:color w:val="auto"/>
        </w:rPr>
      </w:pPr>
    </w:p>
    <w:p>
      <w:pPr>
        <w:ind w:left="860" w:hanging="154"/>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Efficiencies &amp; Environmental Stewardship</w:t>
      </w:r>
    </w:p>
    <w:p>
      <w:pPr>
        <w:spacing w:after="0" w:line="53" w:lineRule="exact"/>
        <w:rPr>
          <w:rFonts w:ascii="Times New Roman" w:cs="Times New Roman" w:eastAsia="Times New Roman" w:hAnsi="Times New Roman"/>
          <w:sz w:val="18"/>
          <w:szCs w:val="18"/>
          <w:color w:val="auto"/>
        </w:rPr>
      </w:pPr>
    </w:p>
    <w:p>
      <w:pPr>
        <w:ind w:left="860" w:right="1620" w:hanging="154"/>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 Shortages and Burnout</w:t>
      </w:r>
    </w:p>
    <w:p>
      <w:pPr>
        <w:spacing w:after="0" w:line="53" w:lineRule="exact"/>
        <w:rPr>
          <w:rFonts w:ascii="Times New Roman" w:cs="Times New Roman" w:eastAsia="Times New Roman" w:hAnsi="Times New Roman"/>
          <w:sz w:val="18"/>
          <w:szCs w:val="18"/>
          <w:color w:val="auto"/>
        </w:rPr>
      </w:pPr>
    </w:p>
    <w:p>
      <w:pPr>
        <w:ind w:left="860" w:hanging="15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 and Outcomes</w:t>
      </w:r>
    </w:p>
    <w:p>
      <w:pPr>
        <w:spacing w:after="0" w:line="117" w:lineRule="exact"/>
        <w:rPr>
          <w:rFonts w:ascii="Times New Roman" w:cs="Times New Roman" w:eastAsia="Times New Roman" w:hAnsi="Times New Roman"/>
          <w:sz w:val="18"/>
          <w:szCs w:val="18"/>
          <w:color w:val="auto"/>
        </w:rPr>
      </w:pPr>
    </w:p>
    <w:p>
      <w:pPr>
        <w:ind w:left="860" w:hanging="15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Equity and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5"/>
        </w:trPr>
        <w:tc>
          <w:tcPr>
            <w:tcW w:w="3060" w:type="dxa"/>
            <w:vAlign w:val="bottom"/>
            <w:tcBorders>
              <w:top w:val="single" w:sz="8" w:color="auto"/>
              <w:left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Our People</w:t>
            </w:r>
          </w:p>
        </w:tc>
        <w:tc>
          <w:tcPr>
            <w:tcW w:w="402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Our Operations</w:t>
            </w:r>
          </w:p>
        </w:tc>
        <w:tc>
          <w:tcPr>
            <w:tcW w:w="0" w:type="dxa"/>
            <w:vAlign w:val="bottom"/>
          </w:tcPr>
          <w:p>
            <w:pPr>
              <w:spacing w:after="0"/>
              <w:rPr>
                <w:sz w:val="1"/>
                <w:szCs w:val="1"/>
                <w:color w:val="auto"/>
              </w:rPr>
            </w:pPr>
          </w:p>
        </w:tc>
      </w:tr>
      <w:tr>
        <w:trPr>
          <w:trHeight w:val="133"/>
        </w:trPr>
        <w:tc>
          <w:tcPr>
            <w:tcW w:w="3060" w:type="dxa"/>
            <w:vAlign w:val="bottom"/>
            <w:tcBorders>
              <w:left w:val="single" w:sz="8" w:color="auto"/>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Strong Culture focused on:</w:t>
            </w:r>
          </w:p>
        </w:tc>
        <w:tc>
          <w:tcPr>
            <w:tcW w:w="4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Protecting client &amp; employee data with</w:t>
            </w:r>
          </w:p>
        </w:tc>
        <w:tc>
          <w:tcPr>
            <w:tcW w:w="0" w:type="dxa"/>
            <w:vAlign w:val="bottom"/>
          </w:tcPr>
          <w:p>
            <w:pPr>
              <w:spacing w:after="0"/>
              <w:rPr>
                <w:sz w:val="1"/>
                <w:szCs w:val="1"/>
                <w:color w:val="auto"/>
              </w:rPr>
            </w:pPr>
          </w:p>
        </w:tc>
      </w:tr>
      <w:tr>
        <w:trPr>
          <w:trHeight w:val="234"/>
        </w:trPr>
        <w:tc>
          <w:tcPr>
            <w:tcW w:w="30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 Talent Development</w:t>
            </w:r>
          </w:p>
        </w:tc>
        <w:tc>
          <w:tcPr>
            <w:tcW w:w="4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robust processes around:</w:t>
            </w:r>
          </w:p>
        </w:tc>
        <w:tc>
          <w:tcPr>
            <w:tcW w:w="0" w:type="dxa"/>
            <w:vAlign w:val="bottom"/>
          </w:tcPr>
          <w:p>
            <w:pPr>
              <w:spacing w:after="0"/>
              <w:rPr>
                <w:sz w:val="1"/>
                <w:szCs w:val="1"/>
                <w:color w:val="auto"/>
              </w:rPr>
            </w:pPr>
          </w:p>
        </w:tc>
      </w:tr>
      <w:tr>
        <w:trPr>
          <w:trHeight w:val="90"/>
        </w:trPr>
        <w:tc>
          <w:tcPr>
            <w:tcW w:w="3060" w:type="dxa"/>
            <w:vAlign w:val="bottom"/>
            <w:vMerge w:val="continue"/>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&amp; Engagement</w:t>
            </w:r>
          </w:p>
        </w:tc>
        <w:tc>
          <w:tcPr>
            <w:tcW w:w="4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Cybersecurity</w:t>
            </w:r>
          </w:p>
        </w:tc>
        <w:tc>
          <w:tcPr>
            <w:tcW w:w="0" w:type="dxa"/>
            <w:vAlign w:val="bottom"/>
          </w:tcPr>
          <w:p>
            <w:pPr>
              <w:spacing w:after="0"/>
              <w:rPr>
                <w:sz w:val="1"/>
                <w:szCs w:val="1"/>
                <w:color w:val="auto"/>
              </w:rPr>
            </w:pPr>
          </w:p>
        </w:tc>
      </w:tr>
      <w:tr>
        <w:trPr>
          <w:trHeight w:val="234"/>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Total Wellbeing</w:t>
            </w:r>
          </w:p>
        </w:tc>
        <w:tc>
          <w:tcPr>
            <w:tcW w:w="4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&amp; Data Privacy</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4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Compliance &amp; Ethics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-1141730</wp:posOffset>
            </wp:positionV>
            <wp:extent cx="6988810" cy="1570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8810" cy="1570990"/>
                    </a:xfrm>
                    <a:prstGeom prst="rect">
                      <a:avLst/>
                    </a:prstGeom>
                    <a:noFill/>
                  </pic:spPr>
                </pic:pic>
              </a:graphicData>
            </a:graphic>
          </wp:anchor>
        </w:drawing>
      </w:r>
    </w:p>
    <w:p>
      <w:pPr>
        <w:ind w:left="720" w:hanging="14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&amp; Inclusion</w:t>
      </w:r>
    </w:p>
    <w:p>
      <w:pPr>
        <w:spacing w:after="0" w:line="98" w:lineRule="exact"/>
        <w:rPr>
          <w:rFonts w:ascii="Times New Roman" w:cs="Times New Roman" w:eastAsia="Times New Roman" w:hAnsi="Times New Roman"/>
          <w:sz w:val="18"/>
          <w:szCs w:val="18"/>
          <w:color w:val="auto"/>
        </w:rPr>
      </w:pPr>
    </w:p>
    <w:p>
      <w:pPr>
        <w:ind w:left="720" w:hanging="14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Outreach</w:t>
      </w:r>
    </w:p>
    <w:p>
      <w:pPr>
        <w:spacing w:after="0" w:line="307" w:lineRule="exact"/>
        <w:rPr>
          <w:sz w:val="20"/>
          <w:szCs w:val="20"/>
          <w:color w:val="auto"/>
        </w:rPr>
      </w:pPr>
    </w:p>
    <w:p>
      <w:pPr>
        <w:sectPr>
          <w:pgSz w:w="11900" w:h="16838" w:orient="portrait"/>
          <w:cols w:equalWidth="0" w:num="2">
            <w:col w:w="3900" w:space="160"/>
            <w:col w:w="7160"/>
          </w:cols>
          <w:pgMar w:left="320" w:top="1309" w:right="359" w:bottom="1440" w:gutter="0" w:footer="0" w:header="0"/>
          <w:type w:val="continuous"/>
        </w:sectPr>
      </w:pPr>
    </w:p>
    <w:p>
      <w:pPr>
        <w:spacing w:after="0" w:line="52"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Our company was founded by industry veterans, their passion, energy and expertise have contributed to our success as a leading digital care platform company. We continue to expand our sphere of expertise and have implemented an oversight structure that is designed to enhance our strategic objectives. Our management team is governed by our Board, which works alongside management to determine our business strategy, ensure the sustainable growth of the company, and oversee our enterprise risks and opportunities and ESG initiatives. Our Board consists of nine (9) directors, 22% identifying as diverse and 78% are independent, who bring a diversity of perspectives, experience, and backgrounds to their role of monitoring and advising management.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Amwell Culture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Values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culture is grounded in our mission to connect and enable providers, payers, patients and innovators to deliver greater access to more affordable, higher quality care. Our values are core to who we are and serve as the foundation on which we are able to build a strong organization filled with employees who deliver exceptional products and services to our clients. At our core we are:</w:t>
      </w:r>
    </w:p>
    <w:p>
      <w:pPr>
        <w:spacing w:after="0" w:line="68"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First – Focused on understanding and supporting clients by embracing change, innovating and enriching patient-provide relationships;</w:t>
      </w:r>
    </w:p>
    <w:p>
      <w:pPr>
        <w:spacing w:after="0" w:line="11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Team – Focused on hiring and developing outstanding people who are encouraged to stay informed and speak up, to celebrate our similarities and honor our difference, and to serve our communities; and</w:t>
      </w:r>
    </w:p>
    <w:p>
      <w:pPr>
        <w:spacing w:after="0" w:line="53"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Awesome – Focused on bringing passion and energy, acting with integrity, working with agility and a sense of urgency, being accountable, and delivering quality in all we do.</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Guided by our mission and values, we are committed to achieving excellence on behalf of our employees, clients and partners and the patients and providers we serve.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 Investing in our Employees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continually seek ways to attract, grow, develop and retain an exceptionally talented and motivated workforce. We build upon our “One Team” core value by creating and enhancing our range of programs that increase engagement and employee resources.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employees are our most valuable asset. As of December 31, 2023, we had 1,104 full-time employees of which 88% are based in the United States, spread out across 46 states, 7% in Ireland, 3% in Israel and 2% in the UK.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2023, we continued to focus on building a strong pipeline of talent. Amwell has and continues to build partnerships with universities and other organizations across the country and has implemented a competitive intern program to develop a diverse candidate pool. In addition, our virtual workforce strategy has allowed us to continue our focus on a global recruitment strategy to hire from all geographies in which we operate to support our diverse pipeline. As of December 31, 2023, women represented nearly 48% of our global employees, and 33% of our employees are non-white. We continue to prioritize our diverse recruitment strategy to build a strong pipeline for women and people of color in our management and leadership roles.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promote the continued growth and development of our employees. Through our learning management system, we create meaningful pathways for our employees to build the technical and comprehensive sales skills they need, including through role-specific trainings and certifications. We support our managers with leadership training, a 360 program and coaching. Our annual performance review process and frequent coaching opportunities create avenues for personal, professional, and leadership growth and development. In addition, we encourage on-going external learning and development opportunities with our tuition assistance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support employees, we provide a comprehensive and competitive total rewards framework that is not only grounded in our mission to attract, engage and retain top talent, but is relevant, equitable, comprehensible, and flexible to meet the needs of our employees. Amwell offers competitive compensation packages consisting of, but not limited to, base salary, short-term incentive bonus and long-term equity, that are linked to individual and company performance to ensure employees are rewarded for individual and company success. There is a high emphasis placed on utilizing benchmarks to ensure fair and equitable compensation packages at all levels of the organization. Recognizing that our employees are all unique and have different physical, mental, financial and social needs, Amwell also provides a robust suite of benefit and wellbeing programs to support the total being of each of our employees including, but not limited to, health insurance, retirement and pension plans, generous paid time off policies, an employee stock purchase program (ESPP), free access to Amwell’s digital care services, income replacement benefits, flexible scheduling, remote working opportunities, and paid parental leave.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 Framework</w:t>
      </w:r>
    </w:p>
    <w:p>
      <w:pPr>
        <w:spacing w:after="0" w:line="11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7" w:lineRule="exact"/>
        <w:rPr>
          <w:sz w:val="20"/>
          <w:szCs w:val="20"/>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Program</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Retirement/Pension</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Disability, and Income Protection</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Benefits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Wellbeing Support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Work-Life</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First Work Environment</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 w:name="page22"/>
    <w:bookmarkEnd w:id="21"/>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 Programs</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EAP Program</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Rewards and Recognition</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Program</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Feedback</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Merit and Bonus Program</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Anniversaries</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Assistance</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Opportunities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Development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We value and solicit employee feedback and listen to all of our employees through various outlets, including all hands meetings and yearly engagement surveys. These avenues have provided us with valuable perspectives that have shaped our investments in programs and initiatives for our employees. In 2023, employee feedback shaped the creation of our MVP Framework, Total Rewards Framework, and internal communication improvements. The Amwell employee voice is the most powerful tool we have for increasing our engagement and the development of a strong and inclusive team.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 has an open-door policy where employees are always welcome to voice concerns about anything related to Amwell or their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avenues such as Human Resources, Legal or the ability to submit concerns anonymously through our ethics hotline or by phone.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Living our Mission, Values, and Purpose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culture is grounded in our mission, values and purpose. We believe we will only be able to achieve our mission, live by our values and be purpose-driven if we are focused on creating a culture of inclusion, act in a socially responsible manner, enable health equity and promote business sustainability. Our MVP Framework serves as a guide to empower our employees to live by our mission, value and purpose (MVP) in their work for and on behalf of Amwell.</w:t>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MVP Framework</w:t>
      </w:r>
    </w:p>
    <w:p>
      <w:pPr>
        <w:spacing w:after="0" w:line="33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Culture of Inclusion – Diversity, Equity, Inclusivity &amp; Belonging. Celebrating diverse perspectives and backgrounds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inclusiveness and diversity at Amwell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and dedicating ourselves to understanding what DEI&amp;B means to our employees 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Sustainability – Environment, Social, Governance &amp; Ethical Accountability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profitable growth business that contributes to a more prosperous, sustainable and healthy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ourselves accountable for measuring and managing our performance across ESG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 Volunteering, Community involvement, Giving back, Serving our network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back to our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position in the market to support/help those in need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sense of purpose and connection to our mission</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Equity – Equal access to care, Addressing Social Determinants of Health, enabling clients and informing ourselves on how health disparities and SDOH impact our clients and health outcomes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cross-functional data to enhance culturally intelligent application of Amwell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our ecosystem to improve access to equitable care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culture is built on diverse perspectives, which help us think differently and better equip our clients, providers and patients with the tools to realize an improved healthcare experience for all. We seek to foster a diverse culture of openness, inclusion, respect and belonging that starts within our organization and transcends into our communities and the people we serve. We aim to spark dialogue and help create a more humane and compassionate world.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Because healthcare is a universal need spanning the full spectrum of humanity, it’s our mission to:</w:t>
      </w:r>
    </w:p>
    <w:p>
      <w:pPr>
        <w:spacing w:after="0" w:line="115" w:lineRule="exact"/>
        <w:rPr>
          <w:sz w:val="20"/>
          <w:szCs w:val="20"/>
          <w:color w:val="auto"/>
        </w:rPr>
      </w:pPr>
    </w:p>
    <w:p>
      <w:pPr>
        <w:ind w:left="760" w:right="160" w:hanging="378"/>
        <w:spacing w:after="0" w:line="28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Educate</w:t>
      </w:r>
      <w:r>
        <w:rPr>
          <w:rFonts w:ascii="Times New Roman" w:cs="Times New Roman" w:eastAsia="Times New Roman" w:hAnsi="Times New Roman"/>
          <w:sz w:val="18"/>
          <w:szCs w:val="18"/>
          <w:color w:val="auto"/>
        </w:rPr>
        <w:t>— We will educate and dedicate ourselves to understanding what diversity and inclusion means to our employees and our business.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facilitate the sharing of employee perspectives and experiences. We will track and adopt best practices from industry leaders.</w:t>
      </w:r>
    </w:p>
    <w:p>
      <w:pPr>
        <w:spacing w:after="0" w:line="50" w:lineRule="exact"/>
        <w:rPr>
          <w:rFonts w:ascii="Times New Roman" w:cs="Times New Roman" w:eastAsia="Times New Roman" w:hAnsi="Times New Roman"/>
          <w:sz w:val="18"/>
          <w:szCs w:val="18"/>
          <w:color w:val="auto"/>
        </w:rPr>
      </w:pPr>
    </w:p>
    <w:p>
      <w:pPr>
        <w:ind w:left="760" w:right="600" w:hanging="378"/>
        <w:spacing w:after="0" w:line="28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Elevate</w:t>
      </w:r>
      <w:r>
        <w:rPr>
          <w:rFonts w:ascii="Times New Roman" w:cs="Times New Roman" w:eastAsia="Times New Roman" w:hAnsi="Times New Roman"/>
          <w:sz w:val="18"/>
          <w:szCs w:val="18"/>
          <w:color w:val="auto"/>
        </w:rPr>
        <w:t>— We will elevate our company’s inclusiveness and diversity through candid reflection, embracing new ideas, targeted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iterative improvement and executing to success. We will foster a culture of openness, respect and conviviality.</w:t>
      </w:r>
    </w:p>
    <w:p>
      <w:pPr>
        <w:spacing w:after="0" w:line="50" w:lineRule="exact"/>
        <w:rPr>
          <w:rFonts w:ascii="Times New Roman" w:cs="Times New Roman" w:eastAsia="Times New Roman" w:hAnsi="Times New Roman"/>
          <w:sz w:val="18"/>
          <w:szCs w:val="18"/>
          <w:color w:val="auto"/>
        </w:rPr>
      </w:pPr>
    </w:p>
    <w:p>
      <w:pPr>
        <w:ind w:left="760" w:right="200" w:hanging="378"/>
        <w:spacing w:after="0" w:line="28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Celebrate</w:t>
      </w:r>
      <w:r>
        <w:rPr>
          <w:rFonts w:ascii="Times New Roman" w:cs="Times New Roman" w:eastAsia="Times New Roman" w:hAnsi="Times New Roman"/>
          <w:sz w:val="18"/>
          <w:szCs w:val="18"/>
          <w:color w:val="auto"/>
        </w:rPr>
        <w:t>— We will celebrate the rich diversity within our company and our community. Through events, discussions and other festivities,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highlight the incredible history, contributions, traditions and milestones of our workforce.</w:t>
      </w:r>
    </w:p>
    <w:p>
      <w:pPr>
        <w:spacing w:after="0" w:line="16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Company DEI&amp;B Pillars and Internal DEI&amp;B Committee help guide our initiatives and drive our mission forward. The Committee fosters education and development opportunities to educate the employees on topics critical to us in our lives and in the workforce. In 2023, we offered numerous inclusion trainings as well as education on selective diverse populations and cultures led by our grassroots Committee. Our culture and actions are grounded in the following DEI&amp;B pillars:</w:t>
      </w:r>
    </w:p>
    <w:p>
      <w:pPr>
        <w:spacing w:after="0" w:line="70"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Recruitment</w:t>
      </w:r>
    </w:p>
    <w:p>
      <w:pPr>
        <w:spacing w:after="0" w:line="29" w:lineRule="exact"/>
        <w:rPr>
          <w:sz w:val="20"/>
          <w:szCs w:val="20"/>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hiring practices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with purpose</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purpose</w:t>
      </w:r>
    </w:p>
    <w:p>
      <w:pPr>
        <w:spacing w:after="0" w:line="9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Awareness and Engagement</w:t>
      </w:r>
    </w:p>
    <w:p>
      <w:pPr>
        <w:spacing w:after="0" w:line="2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talent to feel included and understood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talent to collaborate</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Inspire talent to lead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talent to grow</w:t>
      </w:r>
    </w:p>
    <w:p>
      <w:pPr>
        <w:spacing w:after="0" w:line="9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w:t>
      </w:r>
    </w:p>
    <w:p>
      <w:pPr>
        <w:spacing w:after="0" w:line="2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communities we serve</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communities we live in</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our mission externally.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Communities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Amwell Cares is our Corporate Social Responsibility Initiative. Guided by Amwell’s purpose, mission and values, Amwell Cares is committed to enriching and giving back to the communities we serve, working as One Team to drive the greatest positive impact. Driven by employees, with executive oversight, Amwell Cares works to support various causes, including health equity, hunger relief, and natural disaster recovery, through a variety of activities, including but not limited to company matches, sponsorship of and participation in charity walks/runs, donations and volunteer opportunities, and pro bono healthcare services delivered to communities affected by hurricane, fire or flood. Employees also are encouraged to volunteer on their own and are given a designated volunteer day to allow them time to give back in their local community. In 2023, Amwell donated more than $140,000 in cash and pro bono healthcare services to support our local communities. Employees also volunteered more than 460 hours of their time to support their communities.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Social Responsibility &amp; Health Equity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Social responsibility is deeply embedded in our mission-oriented corporate culture. We never forget that beyond the daily numbers and operating tasks, our goal is to transform how healthcare is delivered by improving access, convenience, economics and quality of care via digital care for all. We are proud of our ability to extend access to both primary and specialty care in “healthcare deserts” that exist in both rural and urban pockets domestically and even more so internationally. To ensure we are creating equal and equitable access to care globally, we seek to improve outcomes in care disparities and social determinants of health by leveraging our unique place in the healthcare ecosystem.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patent portfolio consists of approximately 43 patents and 4 pending patent applications related to our software and technology. We do not currently consider any of our patents to be material to our business. We continue to submit patent applications for new inventions and ideas we develop as well as monitor competitors in an effort to protect our intellectual property.</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services, including both unregistered common law marks and issued trademark registrations in the United States and other geographies. In addition, we rely on certain intellectual property rights that we license from third parties and on other forms of intellectual property rights and measures, including trade secrets, know-how and other unpatented proprietary processes and nondisclosure agreements, to maintain and protect proprietary aspects of our products and technologies. We require our employees, consultants and certain contractors to execute confidentiality agreements in connection with their employment or consulting relationships with us. We also require our employees and consultants to disclose and assign to us inventions conceived during the term of their employment or engagement while using our property or which relate to our business.</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oppositions to our applications for trademarks or patents,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 We typically enter into a higher percentage of agreements with new clients, as well as renewal agreements with existing clients, in the first and fourth quarters. Regardless of when the agreement is entered into, we can typically complete client implementation in an average of approximately three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website address is https://business.amwell.com. We make available free of charge at the Investors section of this website our Annual Reports on Form 10-K, Quarterly Reports on Form 10-Q, Current Reports on Form 8-K and amendments to those reports filed or furnished pursuant to Sections 13(a) and 15(d) of the Securities Exchange Act of 1934, as amended, as soon as reasonably practicable after we file or furnish such materials with the Securities and Exchange Commission, or SEC. Information on, or accessible through, our website is not part of this Annual Report on Form 10-K or incorporated into reference any of our filings with the SEC, except where we expressly incorporate such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To the extent required by Item 1 of Form 10-K, the information contained in Item 7 of this Annual Report is hereby incorporated by reference in this Item 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are several risks related to our business and our ability to leverage our strengths that are described in further detail below. Among these important risks are the following: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the risk we may not achieve profitability;</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significant clients (including our largest client by revenue, Elevance Health, which accounted for 25%, 23% and 24% of our revenue for the years ended December 31, 2021, 2022 and 2023, respectively) and the risk that we may lose their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growth and increased volatility in the digital care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rapid technological changes;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existing and potential new participants in the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acceptance of Converge and our ability and the costs to further develop this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as well as our ability to operate in the heavily regulated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growth in patient adoption of digital care and in platform usage by either clients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 viruses on our business or on our ability to forecast our business’s financial outlook;</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grow our base of affiliated and non-affiliated providers utilizing the Amwell Platform to a number sufficient to serve patient demand;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state and foreign privacy regulations and the significant liability that could result from a cybersecurity breach or our failure to comply with such regulations;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Class A common stock have limited or no ability to influence corporate matters due to the multiple class structure of our common stock and the ownership of Class B common stock by Ido Schoenberg and Roy Schoenberg (the “Founders”), which will have the effect of concentrating voting control with our founders for the foreseeable future.</w:t>
      </w:r>
    </w:p>
    <w:p>
      <w:pPr>
        <w:spacing w:after="0" w:line="17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not the only ones we face. Additional risks and uncertainties that we are unaware of or that we do not currently deem material may also become important factors that adversely affect our business. If any of the events contemplated by the following discussion of risks should occur, our business, financial condition, results of operations and cash flows could suffer significantly. The following is a summary of all the material risks known to us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we expect to continue, and we may never achieve or sustain profitability.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losses in each period since our inception. We incurred net losses of $679.2 million, $272.1 million and $176.8 million for the years ended December 31, 2023, 2022 and 2021, respectively. As of December 31, 2023, we had an accumulated deficit of $1,757.8 million. These losses and accumulated deficit reflect the substantial investments we made to acquire new clients and develop our enterprise platform and software as a service. We intend to continue scaling our business to increase our client, patient, member and provider bases, broaden the scope of services we offer, invest in research and development and expand the applications of our technology through which consumers can access our services. These efforts may prove more expensive than we currently anticipate, and we may not succeed in increasing our revenue sufficiently to offset these higher expenses.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comes from a limited number of clients and we may be unable to retain our key clients.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rely on a limited number of clients for a substantial portion of our total revenue. For the years ended December 31, 2023, 2022 and 2021, our largest client, Elevance, accounted for 24%, 23% and 25% of our revenue, respectively. For the years ended December 31, 2023, 2022 and 2021, our top ten clients by revenue accounted for 51%, 47% and 44% of our total</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5" w:name="page26"/>
    <w:bookmarkEnd w:id="25"/>
    <w:p>
      <w:pPr>
        <w:ind w:right="220"/>
        <w:spacing w:after="0" w:line="258" w:lineRule="auto"/>
        <w:rPr>
          <w:sz w:val="20"/>
          <w:szCs w:val="20"/>
          <w:color w:val="auto"/>
        </w:rPr>
      </w:pPr>
      <w:r>
        <w:rPr>
          <w:rFonts w:ascii="Times New Roman" w:cs="Times New Roman" w:eastAsia="Times New Roman" w:hAnsi="Times New Roman"/>
          <w:sz w:val="18"/>
          <w:szCs w:val="18"/>
          <w:color w:val="auto"/>
        </w:rPr>
        <w:t>revenue, respectively. The loss of any of our key clients, or a failure of some of them to renew or expand their subscriptions, could have a significant impact on our revenue. Our clients may choose to cancel, not renew or otherwise limit their use of our offerings for a variety of reasons described in this “Risk Factors” section, including mergers and acquisitions involving our clients. Further, as we rely on our reputation and recommendations from key clients in order to promote our solution to potential new clients, the loss of any of our key clients could adversely affect our reputation and our ability to obtain new clients.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support the growth of our business, which may not be available to us on acceptable terms or at all.</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scaling our business to increase our client, patient, member and provider bases, broaden the scope of services we offer, invest in research and development and expand the applications of our technology through which consumers can access our services. For the years ended December 31, 2023, 2022 and 2021, our net cash used in operating activities was $148.3 million, $192.3 million and $141.5 million respectively. As of December 31, 2023, we had $372.0 million of cash, cash equivalents and short-term investments, which are held for working capital purposes.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our growth rate, subscription renewal activity, the timing and extent of spending to support development efforts, the expansion of sales and marketing activities, the introduction of new or enhanced services and the continuing market acceptance of digital care. Accordingly, we may need to engage in equity or debt financings or collaborative arrangements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Any debt financing secured by us in the future could require us to dedicate a substantial amount of cash for interest payments and involve restrictive covenants relating to our capital-raising activities and other financial and operational matters, which may make it more difficult for us to obtain additional capital, operate our business and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or at times that we require such financing, if at all. If we are unable to obtain adequate financing or financing on terms satisfactory to us, it could have a material adverse effect on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non-cash impairment charges.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2023, we incurred goodwill impairment charges of $436.5 million and, if in the future there is a sustained decline in our stock price, adverse changes in our projected cash flows, and/or changes in key assumptions, including but not limited to lower revenue growth, lower operating margin, and/or a lower terminal growth rate, we may be required conduct additional impairment testing of our other intangibles and/or long-lived assets and subsequently record additional non-cash impairment charge. Such a non-cash charge would likely have a material adverse effect on our consolidated statements of operations and balance sheets in the reporting period of the charge. For additional information, see Part II, Item 7: Management’s Discussion &amp; Analysis of Financial Condition and Results of Operations under the sub-heading “Critical Accounting Policies and Estimates —Goodwill and Intangible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digital care market is still developing and volatile and may develop slower than we expect and be subject to negative publicity.</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 digital care market is relatively new and unproven, and it is uncertain whether it will achieve and sustain high levels of demand, consumer acceptance and market adoption. Our success will depend to a substantial extent on the willingness of our clients’ members or patients to use, and to increase the frequency and extent of their utilization of, our services, as well as on our ability to demonstrate the value of digital care to employers, health plans, government agencies and other purchasers of healthcare for beneficiaries. Negative publicity concerning our services or the digital care market as a whole could limit market acceptance of our services. For example, there has been and continue to be substantial media coverage in the U.S. surrounding mental health and virtual health services, including the virtual prescription of mental health prescription drugs. Such negative publicity could adversely affect the digital care market and our business. Similarly, individual and healthcare industry concerns or negative publicity regarding patient confidentiality and privacy in the context of digital care could limit market acceptance of our healthcare services. If our clients, or their members or patients, do not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100"/>
        <w:spacing w:after="0" w:line="282" w:lineRule="auto"/>
        <w:rPr>
          <w:sz w:val="20"/>
          <w:szCs w:val="20"/>
          <w:color w:val="auto"/>
        </w:rPr>
      </w:pPr>
      <w:r>
        <w:rPr>
          <w:rFonts w:ascii="Times New Roman" w:cs="Times New Roman" w:eastAsia="Times New Roman" w:hAnsi="Times New Roman"/>
          <w:sz w:val="18"/>
          <w:szCs w:val="18"/>
          <w:color w:val="auto"/>
        </w:rPr>
        <w:t>perceive the benefits of our services, or if our services are not competitive, then our market may not develop at all, or it may develop more slowly than we expect. If any of these events occurs, it could have a material adverse effect on our business,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digital care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consumer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may not able to compete effectively.</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While the digital care market is in an early stage of development, it is competitive and we expect it to attract increased competition, which could make it difficult for us to succeed. We currently face competition in the digital care delivery market from a range of companies, including specialized software and solution providers that offer similar solutions, often at substantially lower prices, and that are continuing to develop additional products and becoming more sophisticated and effective. Our competitors in the digital care delivery market range from traditional digital care players such as Teladoc, Included Health and MDLive; video communications players such as Zoom or Microsoft Teams; physician networks or tools such as Doximity and Caregility; technology companies such as Amazon; and EHR players (which are also partners) such as Epic, Cerner, Allscripts and athenahealth. Competition could result in continued pricing pressures, which is likely to lead to price declines in certain product segments, which could negatively impact our sales, profitability and market share.</w:t>
      </w:r>
    </w:p>
    <w:p>
      <w:pPr>
        <w:spacing w:after="0" w:line="19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client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client base, more widely adopted proprietary technologies, greater marketing expertise, greater financial resources and larger sales forces than we have, which could put us at a competitive disadvantage.</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competitors could also be better positioned to serve certain segments of the digital care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may accept competitive solutions in lieu of purchasing our solution. If we are unable to successfully compete in the digital care market, our business, financial condition and results of operations could be materially adversely affected.</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legislation and other changes in the healthcare industry and in healthcare spending could adversely affect our business, financial condition and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revenue is dependent on the healthcare industry and could be affected by changes in healthcare spending, reimbursement and policy. The healthcare industry is subject to changing political, regulatory and other influences. There is significant interest in promoting healthcare reforms, and it is likely that federal and state legislatures within the United States and the governments of other countries will continue to consider changes to existing healthcare legislation. For example, there have been and continue to be a number of initiatives at the United States federal and state levels that seek to reduce healthcare costs, including the Budget Control Act (which, subject to certain sequestration periods, imposed 2% reductions in Medicare payments to providers per fiscal year) and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260"/>
        <w:spacing w:after="0" w:line="258" w:lineRule="auto"/>
        <w:rPr>
          <w:sz w:val="20"/>
          <w:szCs w:val="20"/>
          <w:color w:val="auto"/>
        </w:rPr>
      </w:pPr>
      <w:r>
        <w:rPr>
          <w:rFonts w:ascii="Times New Roman" w:cs="Times New Roman" w:eastAsia="Times New Roman" w:hAnsi="Times New Roman"/>
          <w:sz w:val="18"/>
          <w:szCs w:val="18"/>
          <w:color w:val="auto"/>
        </w:rPr>
        <w:t>years). Further, healthcare reform legislation that affect Medicare spending and funding, such as Medicare payment for performance initiatives for physicians under the Medicare Access and CHIP Reauthorization Act, could materially adversely affect client demand and affordability for our products and, accordingly, the results of our financial operations. In addition, payers such as government and private insurance providers are also increasingly seeking to reduce healthcare costs, as demonstrated by the trend toward managed healthcare in the United States, which could reduce demand and prices for our services.</w:t>
      </w:r>
    </w:p>
    <w:p>
      <w:pPr>
        <w:spacing w:after="0" w:line="183"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growth in the number of individuals covered by our health systems and health plans decreases, or the number of products or services that we are able to sell to our clients decreases due to legal, economic or business developments, our revenue will likely decrease.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generate most of our revenues from clients who purchase access to our enterprise platform. These contracts generally have stated initial terms of three years. Most of our clients have no obligation to renew their subscriptions for our solution after the initial term expires. In addition, our clients may negotiate terms less advantageous to us upon renewal, which may reduce our revenue from these clients. Our future results of operations depend, in part, on our ability to expand into new clinical specialties and across care settings and use cases. If our clients fail to renew their contracts, renew their contracts upon less favorable terms or at lower fee levels or fail to purchase new products and services from us, our revenue may decline, or our future revenue growth may be constrained.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clients to be successful offering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and introduction of additional or improved solutions and our clients’ acceptance of such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clients and, in particular, headcount reductions by our clients.</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our marketing efforts depend significantly on our ability to call upon our current clients to provide positive references to new, potential clients. Given our limited number of long-term clients, the loss or dissatisfaction of any client could substantially harm our brand and reputation, inhibit widespread adoption of our solution and impair our ability to attract new clients and maintain existing clients. Any of these consequences could lower retention rate and have a material adverse effect on our business, financial condition and results of operations.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or the emergence of new technologies may render our digital care solution obsolete or require us to expend significant resources in order to remain competitive.</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result in our digital care solution being less desirable or relevant.</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600"/>
        <w:spacing w:after="0" w:line="282" w:lineRule="auto"/>
        <w:rPr>
          <w:sz w:val="20"/>
          <w:szCs w:val="20"/>
          <w:color w:val="auto"/>
        </w:rPr>
      </w:pPr>
      <w:r>
        <w:rPr>
          <w:rFonts w:ascii="Times New Roman" w:cs="Times New Roman" w:eastAsia="Times New Roman" w:hAnsi="Times New Roman"/>
          <w:sz w:val="18"/>
          <w:szCs w:val="18"/>
          <w:color w:val="auto"/>
        </w:rPr>
        <w:t>employers by increasing sales of our solution to health insurance companies or to individuals or government agencies. In such a case, our results of operations would be adversely affected.</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healthcare benefits trends shift or entirely new technologies are developed that replace existing solutions, our existing or future solutions could be rendered obsolete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digital care offerings may not be adopted by our clients and we may fail to innovate and develop new software offerings that are adopted by our clients.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date, we have historically derived a substantial majority of our revenue from clients who pay for access to our enterprise platform and software as a service. Our long-term results of operations and continued growth will depend on our ability to successfully develop and market new digital care products and services that our clients want and are willing to purchase. In addition, we have invested significant resources in research and development to enhance our existing solution and introduce new high-quality digital care products and services, such as our Converge platform, and intend to continue to invest resources to enhance our existing solution and introduce new products and services. If existing clients are not willing to make additional payments for such new applications, or if new clients and their members and patients do not value such new applications, it could have a material adverse effect on our business, financial condition and results of operations. If we are unable to predict user preferences or if our industry changes, or if we are unable to modify our solution and services on a timely basis, we may lose clients. Our results of operations would also suffer if our innovations are not responsive to the needs of our clients, appropriately timed with market opportunity or effectively brought to market.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our business may suffer.</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clients. Our brand promotion activities may not generate client awareness or increase revenue, and even if they do, any increase in revenue may not offset the expenses we incur in building our brand. If we fail to successfully promote and maintain our brand, or incur substantial expenses in doing so, we may fail to attract or retain clients necessary to realize a sufficient return on our brand-building efforts or to achieve the widespread brand awareness that is critical for broad client adoption of our solution.</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AMG providers or experts or American Well Corporation experts are characterized as employees, AMG and American Well Corporation, as applicable, would be subject to employment and withholding liabilities.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AMG and American Well Corporation structure their relationships with the majority of their respective providers and experts in a manner that we believe results in an independent contractor relationship, not an employee relationship.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AMG providers and experts and American Well Corporation experts are properly characterized as independent contractors, tax or other regulatory authorities may in the future challenge our characterization of these relationships. If such regulatory authorities or state, federal or foreign courts were to determine that AMG providers or experts or American Well Corporation experts are employees, and not independent contractors, AMG or American Well Corporation, as applicable, would be required to withhold income taxes, to withhold and pay social security, Medicare and similar taxes and to pay unemployment and other related payroll taxes. AMG or American Well Corporation, as applicable, would also be liable for unpaid past taxes and subject to penalties. As a result, any determination that AMG providers or experts and/or American Well experts are employees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health epidemics, pandemics and other public health emergencies.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Health epidemics, pandemics and other public health emergencies could cause disruptions and severely impact our business, including, but not limited to: negatively impacting our clients’ business, as well as loss of employment, resulting in difficulty collecting accounts receivable and/or fewer fees generated; negatively impacting our ability to facilitate the provision of our services to health system, health plan or innovator clients due to unpredictable demand; creating regulatory uncertainty if certain restrictions on reimbursement or the practice of medicine across state lines are reintroduced in the future; and harming our business, results of operations and financial condition. In addition, any such health epidemics,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pandemics and other public health emergencies could heighten many of the other risks identified elsewhere in this “Risk Factors” section.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and diverse workforce are crucial for executing our business strategy.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success and execution of our business strategy depends heavily upon our ability to attract and retain key members of senior management and a diverse and skilled workforce generally. The members of senior management are at-will employees and therefore they may terminate employment with us at any time with no advance notice. Changes in our management team resulting from the hiring or departure of executives could disrupt our business and involve significant time and costs and may significantly delay or prevent the achievement of our business objectives. Our business would also be adversely affected if we fail to adequately plan for succession of our executives and senior management. While we have succession plans in place and we have employment arrangements with a limited number of key executives, these do not guarantee that the services of these or suitable successor executives will continue to be available to us. In addition to our management team, our products and services and our operations require a large number of highly skilled employees who we must successfully engage and inspire to be open to change, to innovate and to maintain member- and client-focus when delivering our services. In addition, as we expand internationally, we face the challenge of recruiting, integrating, educating, managing, retaining and developing a more culturally diverse workforce.</w:t>
      </w:r>
    </w:p>
    <w:p>
      <w:pPr>
        <w:spacing w:after="0" w:line="1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w:t>
      </w:r>
    </w:p>
    <w:p>
      <w:pPr>
        <w:spacing w:after="0" w:line="180"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In making employment decisions, particularly in high-technology industries, qualified personnel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qualified personnel require to join or stay with our company. Failure to attract new personnel or failure to retain and motivate our current personnel, could have a material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our partner organizations and technology and content providers. Identifying partners,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partners by our competitors could result in a decrease in the number of our current and potential clients, as our partners may no longer facilitate the adoption of our applications by potential clients.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client use of our applications or increased revenue.</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care strategy depends on the ability of our affiliated medical group to maintain and expand its network of skilled qualified providers. If it is unable to do so, our future growth would be limited and our business, financial condition and results of operations would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is dependent upon our affiliated medical group, AMG, and its continued ability to maintain a network of highly trained and qualified digital care providers. If AMG is unable to recruit and retain board-certified physicians and other healthcare professionals,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physician licensing laws and standard of care requirements, and other pressures on healthcare providers and consolidation activity among hospitals, physician groups and healthcare providers. The failure of AMG to maintain or to secure new cost-effective provider contracts may result in a loss of or inability to grow our consumer base, higher costs, healthcare provider network</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disruptions, less attractive clinical services for our clients and/or difficulty in meeting regulatory or accreditation requirements, any of which could have a material adverse effect on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adjustments to our historical Active Providers metrics as a result of changes in our methodology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While we believe that our Active Providers metrics are reasonable, we do not tag each provider using our platform. We base the Active Providers metrics on internal estimates that involve judgment, assumptions and sampling. We are continually seeking to improve the accuracy of our Active Providers metrics and have made revisions to our methodologies and corrected prior period errors in the past. As a result of improvements or changes in our methodology, we may make adjustments to our historical Active Providers metrics.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w:t>
      </w:r>
    </w:p>
    <w:p>
      <w:pPr>
        <w:spacing w:after="0" w:line="121"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7"/>
          <w:szCs w:val="17"/>
          <w:color w:val="auto"/>
        </w:rPr>
        <w:t>We have experienced significant growth in the last five years. Future revenues may not grow at these same rates or may decline. Our future growth will depend, in part, on our ability to grow our revenue from existing clients, to complete sales to potential future clients, to expand our client, patient and member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ability to execute on our existing sales pipeline, create additional sales pipelines, and expand our client base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services than we currently anticipate, which could adversely affect our results of operations and growth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continually executing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and the incurrence of other unexpected costs associated with operating the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and results of operations may be materially adversely affected.</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continue to research opportunities to expand our operations in markets outside of the United States. There can be no assurance that these efforts will be successful. We have limited experience in marketing, selling, implementing and supporting our products and services abroad. Expansion of our global sales and operations may require us to divert the efforts of our technical and management personnel and could result in significant expense to us, which could adversely affect our results of operations and growth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quickly scale our capabilities when needed.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times, we may be required to quickly scale our capabilities, such as in response to unexpected shifts in demand for digital care, to implement our solution satisfactorily with respect to both large and demanding clients, who currently constitute the substantial majority of our client base. Large clients often require specific features or functions unique to their consumer base, which, at a time of significant growth or during periods of high demand, may strain our implementation capacity and hinder our ability to successfully implement our solution to our clients in a timely manner. If we are unable to address the needs of our clients or consumers, or our clients or consumers are unsatisfied with the quality of our solution or services, they may not renew their contracts, seek to cancel or terminate their relationship with us or renew on less favorable terms, any of which could cause our annual net dollar retention rate to decrease.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Annual Report relating to the size and expected growth of the digital care market may prove to be inaccurate. Even if the market in which we compete meets our size estimates and forecasted growth, our business could fail to grow at similar rates,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large clients, including through acquisitions or consolidations of such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other variations in the timing of the sales of our services;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significantly higher proportion of our clients’ members and patients use our services during peak cold and flu season months, the future impact of seasonal viruses is unknown as there could be additional surges and demand on digital care visits;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 including possible delays in the recognition of revenue due to sometimes unpredictable implementation timelines;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size and composition of our proprietary network of healthcare professionals relative to the level of demand for services from our clients’ members and patients;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 by us or our competitors or any other change in the competitive dynamics of our industry, including consolidation among competitors, clients or strategic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 and the timing and terms of client renewals;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sold during a period;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rate of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Class A common stock.</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our client relationships, and if we are unable to maintain and grow these client relationships over time, we are likely to fail to recover these costs.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business model depends heavily on achieving economies of scale because our initial upfront investment is costly and the associated revenue is recognized on a ratable basis. We devote significant resources to establish relationships with our clients and implement our solution and related services. This is particularly so in the case of large enterprises that, to date, have comprised a substantial majority of our client base. Accordingly, our results of operations will depend in substantial part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2" w:name="page33"/>
    <w:bookmarkEnd w:id="32"/>
    <w:p>
      <w:pPr>
        <w:ind w:right="280"/>
        <w:spacing w:after="0" w:line="258" w:lineRule="auto"/>
        <w:rPr>
          <w:sz w:val="20"/>
          <w:szCs w:val="20"/>
          <w:color w:val="auto"/>
        </w:rPr>
      </w:pPr>
      <w:r>
        <w:rPr>
          <w:rFonts w:ascii="Times New Roman" w:cs="Times New Roman" w:eastAsia="Times New Roman" w:hAnsi="Times New Roman"/>
          <w:sz w:val="18"/>
          <w:szCs w:val="18"/>
          <w:color w:val="auto"/>
        </w:rPr>
        <w:t>on our ability to deliver a successful experience for clients, as well as their members and patients, and persuade our clients to maintain and grow their relationship with us over time. Additionally, as our business is growing significantly, our client acquisition costs could outpace our build-up of recurring revenue, and we may be unable to reduce our total operating costs enough to achieve profitability, or if achieved, to maintain it. If we fail to achieve appropriate economies of scale or if we fail to manage or anticipate the evolution and in future periods, demand, of the access fee model, our business, financial condition and results of operations could be materially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long and unpredictable and requires considerable time and expense, which may cause our results of operations to fluctuate.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sales cycle for our solution from initial contact with a potential lead to contract execution and completion, varies widely by client, ranging from a few months to a year. Some of our clients undertake a significant and prolonged evaluation process, including to determine whether our services meet their unique healthcare needs, which frequently involves evaluation of not only our solution but also an evaluation of those of our competitors, which has in the past resulted in extended sales cycles. Our sales efforts involve educating our clients about the use, technical capabilities and potential benefits of our solution. Moreover, our large enterprise clients often begin to deploy our solution on a limited basis, which increases our upfront investment in the sales effort with no guarantee that these clients will deploy our solution widely enough across their organization to justify our substantial upfront investment. The implementation of large and complex contracts requires us to devote a sufficient amount of personnel, systems, equipment, technology and other resources as are necessary to ensure a timely and successful implementation. It is possible that in the future we may experience even longer sales cycles, more complex client needs, higher upfront sales costs and less predictability in completing some of our sales as we continue to expand our direct sales force, expand into new territories and market additional software-based products and services.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2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respect to our international operations, we face political, legal and compliance, operational, regulatory, economic and other risks that we do not face or that are more significant than in our domestic operations.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respect to our international operations, we face political, legal and compliance, operational, regulatory, economic and other risks that we do not face or that are more significant than in our domestic operations. These risks vary widely by country and include varying regional and geopolitical business conditions and demands, government intervention and censorship, discriminatory regulation, nationalization or expropriation of assets and pricing constraints. Our international products need to meet country-specific client and member preferences as well as country-specific legal requirements, including those related to licensing, privacy, data storage, location, protection and security. We have offices in the United States, Ireland and Israel and clients in Israel and throughout Europe and Australia.</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Additionally, certain international geopolitical conflicts, such as between Russia and Ukraine and Israel-Hamas, may create additional risks for our business. For example, we have certain employees, including one of our Co-CEOs, as well as engineering contractors who are located in these regions. The conflicts in those regions and our exposure to it may heighten many other risks disclosed in this “Risk Factors” section, any of which could materially and adversely affect our business and results of operations. Such risks include, but are not limited to, adverse macroeconomic conditions; increased exposure to cyber-attacks; risks to the contractors that we use in the region; constraints or disruption in the capital markets and our sources of liquidity; and a potential inability to service certain contractual obligations if our contractors in the region are otherwise unable to perform.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international operations require us to overcome logistical and other challenges based on differing languages, cultures, legal and regulatory schemes and time zones. Our international operations encounter labor laws, customs and employee relationships that can be difficult, less flexible than in our domestic operations and expensive to modify or terminate. In some countries we are required to, or choose to, operate with local business partners, which requires us to manage our partner relationships and may reduce our operational flexibility and ability to quickly respond to business challenges.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international operations are subject to particular risks in addition to those faced by our domestic operations,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solution for specific countries, including translation into foreign languages and associated expenses;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proprietary information due to misappropriation or laws that may be less protective of our intellectual property rights than U.S. laws or that may not be adequately enforced;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that client data be stored and processed in a designated territory;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 laws and business practices favoring local competitors;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economic sanctions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bank and other restrictions on our ability to repatriate cash from international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future growth or inability to maintain current levels of revenues from international sales if we do not invest sufficiently in our international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longer accounts receivable payment cycles and collections issues;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coordinating the activities of our geographically dispersed and culturally diverse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war, terrorism or regional natural disasters, particularly in areas in which we have facilities.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on our ability to anticipate and effectively manage these risks and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consumers, and any failure or interruption in the services provided by these third parties or our own systems could expose us to litigation and negatively impact our relationships with clients, adversely affecting our brand and our business.</w:t>
      </w:r>
    </w:p>
    <w:p>
      <w:pPr>
        <w:spacing w:after="0" w:line="6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serve all of our U.S. based clients and consumers from two geographically dispersed data centers. While we control and have access to our servers, we do not control the operation of these facilities. The owners of our data center facilities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growing needs for capacity, this could have an adverse effect on our business. For example, a rapid expansion of our business could affect the service levels at our data centers or cause such data centers and systems to fail. Any changes in third-party service levels at our data centers or any disruptions or other performance problems with our solution could adversely affect our reputation and may damage our clients and consumers’ stored files or result in lengthy interruptions in our services. Interruptions in our services may reduce our revenue, cause us to issue refunds to clients for prepaid and unused subscriptions, as well as penalties related to service level credits and uptime, subject us to potential liability or adversely affect client renewal rates.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consumers. To operate without interruption, both we and our service providers must guard against:</w:t>
      </w:r>
    </w:p>
    <w:p>
      <w:pPr>
        <w:spacing w:after="0" w:line="81"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80"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subject us to potential liability or adversely affect client renewal rates.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damage our reputation. This could materially and adversely impact our business, financial condition and operating results.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and clients.</w:t>
      </w:r>
    </w:p>
    <w:p>
      <w:pPr>
        <w:spacing w:after="0" w:line="5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Our services involve the storage and transmission of clients’ and our consumers’ proprietary information, sensitive or confidential data, including valuable intellectual property and personal information of employees, clients, consumers and others, as well as the protected health information (“PHI”), of our consumers.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ransomware,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patient or member data (including PHI), a loss of or damage to our data, an inability to access data sources, or process data or provide our services to our clients.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Additionally, we cannot be certain that insurance will continue to be available to us on economically reasonable terms, or at all, or that any insurer will not deny coverage as to any future claim.</w:t>
      </w:r>
    </w:p>
    <w:p>
      <w:pPr>
        <w:spacing w:after="0" w:line="20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regulations and standards in the various jurisdictions in which we operate. Such initiatives around the country could increase the cost of developing, implementing or securing our servers and require us to allocate more resources to improved technologies, adding to our IT and compliance costs. Our Board is briefed periodically on cybersecurity and risk management issues by our Chief Information Officer and General Counsel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could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8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information systems must be continually updated, patched and upgraded to protect against known vulnerabilities. The volume of new vulnerabilities has increased markedly, as has the criticality of patches and other remedial measures. The ongoing conflict in Russia and the Ukraine may also result in heightened cybersecurity risk across our networks and platforms. In addition to remediating newly identified vulnerabilities, previously identified vulnerabilities must also be continuously addressed. Accordingly, we are at risk that cyber-attackers exploit these known vulnerabilities before they have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been addressed. Due to the large number of systems and platforms that we operate, the increased frequency at which vendors are issuing security patches to their products, the need to test patches and, in some cases coordinate with clients and vendors, before they can be deployed, we continuously face the substantial risk that we cannot deploy patches in a timely manner. We are also dependent on third-party vendors to keep their systems patched and secure in order to protect our information systems and data. Any failure related to these activities and any breach of our information systems could result in significant liability and/or have a material adverse effect on our business, reputation and financial condition.</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enterprise platform and software as a service provides our consumers and providers with the ability to, among other things, register for our services; complete, view and edit medical history; request a visit (either scheduled or on demand); and conduct a visit (via video or phone). 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implement our solution for clients or resolve any technical issues in a timely manner, we may lose clients and our reputation may be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clients utilize a variety of data formats, applications and information systems and our solution must support our clients’ data formats and integrate with complex enterprise applications and information systems. If our enterprise platform and software as a service does not currently support a client’s required data format or appropriately integrate with a client’s applications and information systems, then we must configure our enterprise platform and software as a service to do so, which increases our expenses. Additionally, we do not control our clients’ implementation schedules. As a result, if our clients do not allocate the internal resources necessary to meet their implementation responsibilities or if we face unanticipated implementation difficulties, the implementation may be delayed. If the client implementation process is not executed successfully or if execution is delayed, we could incur significant costs, clients could become dissatisfied and decide not to increase utilization of our solution or not to implement our solution beyond an initial term commitment or, in some cases, revenue recognition could be delayed. In addition, competitors with more efficient operating models with lower implementation costs could jeopardize our client relationships.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consumers. Further, if we are unable to address consumers’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clients. If any of these were to occur, our revenue may decline and our business, financial condition and results of operations could be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for technology integration problems and warranties.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proprietary third party technology solutions, including integration with EHR providers, like Cerner and Epic, or mobile applications utilizing our SDK, are very complex and may contain design, coding or other errors, especially when first introduced. It is possible that providers may discover errors in our software after their introduction to the market. Our software is used not just for telehealth itself but also handling insurance eligibility, medical record access, payment. claims submission, artificial intelligence based chat with patients and training patients on coping with behavioral health issues. Therefore, users of our software are less tolerant of errors than the market for other types of technologies generally. Our client agreements typically include warranties by the Company confirming the operation of our solution in accordance with specifications. If a software solution fails to meet these warranties or leads to faulty clinical decisions or injury to patients, it could constitute a material breach under the client agreement, allowing the client to terminate the agreement and possibly obtain a refund or damages or both; require us to incur additional expense in order to make the solution meet these criteria; or subject us to claims or litigation by our clients or clinicians or directly by the patient. Additionally, such failures could damage our reputation and could negatively affect future sales. Although we maintain liability insurance coverage, there can be no assurance that such coverage will cover any particular claim that has been brought or that may be brought in the future, that such coverage will prove to be adequate or that such coverage will continue to remain available on acceptable terms, if at all. A successful material claim or series of claims brought against us, if uninsured or under-insured, could materially harm our business,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21"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patent, trademark and trade secret laws, as well as license and access agreements and other contractual provisions, to protect our patent portfolio as well as other intellectual property rights. These laws, procedures and agreements provide only limited protection and any of our intellectual property rights may be challenged, invalidated, circumvented, infringed, diluted or misappropriated.</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t>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the public, of the source code to such proprietary software. Any such disclosure would have a negative effect on our business and the value of our proprietary software.</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patents and trademarks, or oppose our patent and trademark applications. We may not be able to obtain and enforce additional patents to protect our proprietary rights from use by potential competitors. Companies with other patents could require us to stop using or pay to use required technology.</w:t>
      </w:r>
    </w:p>
    <w:p>
      <w:pPr>
        <w:spacing w:after="0" w:line="6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through patents, trademarks,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products or services, which could result in loss of brand recognition, and could require us to devote resources to advertising and marketing new brands.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now held or that may be issued may not provide adequate protection from competition. Furthermore, because the issuance of a patent is not conclusive as to its inventorship, scope, validity or enforceability, patents issued to us have been found to be invalid in the past, and it is possible that patents issued or licensed to us may be challenged successfully and found to be invalid or unenforceable in the future. In that event, any competitive advantage that such patents might provide would be lost. If we are unable to secure or to continue to maintain patent coverage, our technology could become subject to competition from the sale of similar competing products.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patents. Changes in either the patent laws or interpretation of the patent laws in the United States and other countries may diminish the value of our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patents issued or licensed to us relating to our software and technology may be infringed by the products or processes of others. For example, we are aware of third parties that we believe are infringing certain of our owned patents related to our software and technology.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could become a party to additional, patent litigation and other infringement proceedings. The cost to us of any patent litigation or other infringement proceeding, even if resolved in our favor, could be substantial. Some of our would-be competitors may sustain the costs of such litigation more effectively than we can because of their greater financial resources.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Any future, litigation, whether or not successful, could be extremely costly to defend, divert our management’s time, attention and resources, damage our reputation and brand and substantially harm our business.</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to sell or use the relevant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technology to avoid infringement.</w:t>
      </w:r>
    </w:p>
    <w:p>
      <w:pPr>
        <w:spacing w:after="0" w:line="22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Liability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AMG providers and us. Although we and AMG carry insurance covering medical malpractice claims in amounts that we believe are appropriate in light of the risks attendant to our business, successful medical liability claims could result in substantial damage awards that exceed the limits of our and AMG’s insurance coverage. Recently, the provision of mental health services virtually has attracted widespread attention, and several other providers have received regulatory and litigation focus for inappropriate prescriptions of psychiatric medication. While we have not received such focus, any future focus on us could increase claims against us. AMG carries professional liability insurance for itself and each of its healthcare professionals, and we separately carry a professional liability insurance policy, which covers medical malpractice claims and covers our existing subsidiaries. In addition, professional liability insurance is expensive and insurance premiums may increase significantly in the future, particularly as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0" w:name="page41"/>
    <w:bookmarkEnd w:id="40"/>
    <w:p>
      <w:pPr>
        <w:ind w:right="280"/>
        <w:spacing w:after="0" w:line="282" w:lineRule="auto"/>
        <w:rPr>
          <w:sz w:val="20"/>
          <w:szCs w:val="20"/>
          <w:color w:val="auto"/>
        </w:rPr>
      </w:pPr>
      <w:r>
        <w:rPr>
          <w:rFonts w:ascii="Times New Roman" w:cs="Times New Roman" w:eastAsia="Times New Roman" w:hAnsi="Times New Roman"/>
          <w:sz w:val="18"/>
          <w:szCs w:val="18"/>
          <w:color w:val="auto"/>
        </w:rPr>
        <w:t>we expand our services. As a result, adequate professional liability insurance may not be available to AMG providers or to us in the future at acceptable costs or at all.</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claims made against us that are not fully covered by insurance could be costly to defend against, result in substantial damage awards against us and divert the attention of our management and our affiliated medical group from our operations, which could have a material adverse effect on our business, financial condition and results of operations. In addition, any claims may adversely affect our business or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digital care and access to remote, virtual healthcare. If clients or individuals assert liability claims against us, any ensuing litigation, regardless of outcome, could result in a substantial cost to us, divert management’s attention from operations, and decrease market acceptance of our solution. We attempt to limit our liability to clients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changes in U.S. tax laws could adversely affect our operating results and financial condition.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2022, the Inflation Reduction Act (the “IRA”) was signed into law, which includes implementation of a new corporate alternative minimum tax (the “CAMT”), among other provisions. The CAMT imposes a minimum tax on the adjusted financial statement income (“AFSI”) for “applicable corporations” with average annual AFSI over a three-year period in excess of $1 billion. Although we currently do not believe that we are or are likely to be in the near future subject to the CAMT and thus do not believe that the CAMT will impact our tax results in the near future, there are a number of uncertainties and ambiguities as to the interpretation and application of the CAMT, and it is possible that future growth in our business and AFSI and/or any future guidance with respect to the interpretation and application of the CAMT could result in the CAMT having a material effect on our liability for corporate taxes and our consolidated effective tax rate.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permitted to file as a consolidated group for U.S. federal income tax and certain state tax purposes.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Section 1504(a) of the Internal Revenue Code of 1986, as amended (the “Code”), we are generally permitted to elect to file a consolidated tax return for U.S. federal income tax purposes with any corporations in which we own at least 80%, by vote and value, of the corporation’s outstanding stock (other than preferred stock meeting certain requirements). Filing a consolidated tax return with our subsidiaries as a consolidated group has certain U.S. federal income tax advantages, including permitting the consolidated group to share certain tax attributes such as net operating losses realized by one or more members of the group, the nonrecognition of income on inter-group dividends, and the ability to defer the recognition of gains on certain intercompany transactions. In addition, similar rules apply in certain states, which permit a corporate groups which meet certain requirements to file state income tax returns on a unitary or similar basis. The ownership of a corporation’s stock for U.S. federal income tax purposes is generally based on the substance of a transaction, rather than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ownership of legal title, based on a determination as to which entity has the benefits and burdens of the ownership of a corporation’s stock.</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retain the economic ownership in and control over shares of the PCs, even though we have transferred legal title to the shares of the PCs to Dr. Cynthia Horner, with respect to AMG entities, in order to comply with the laws of the various states in which the PCs were formed and operate, we believe that we are the beneficial owners of the stock of the PCs for U.S. federal and state income tax purposes and thus are entitled to include the PCs in our U.S. federal consolidated income tax return and file a unitary or similar basis in certain states. For further discussion of this structure, see “Item 1. Business—Physicians and Healthcare Professionals.” However, there is no case law or other binding administrative guidance that directly addresses our facts, and it is possible that the Internal Revenue Service (the “IRS”) or a state taxing authority could take the position that we are not the beneficial owner of the stock of the PCs and thus are not entitled to include the PCs in our U.S. federal consolidated income tax return or state unitary or similar tax return, as applicable. There can be no assurance that the IRS or a state taxing authority will not take this position, or that such position would not be sustained if we were to challenge any such position in an administrative appeal or in a court.</w:t>
      </w:r>
    </w:p>
    <w:p>
      <w:pPr>
        <w:spacing w:after="0" w:line="18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were not treated as the beneficial owner of the stock of the PCs, and were not entitled to include the PCs in our U.S. federal consolidated income tax return or a state unitary or similar tax return, this could have a material adverse effect on our cash position, tax liabilities, results of operations and financial condition.</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file state and local income tax returns in jurisdictions in which we believe we are required to do so. 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or similar taxes for digital care services which could adversely affect our results of operations.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Sales and use and similar tax laws and rates vary greatly from state to state. For 2023 we filed sales and use tax in 46 states. With respect to the remaining states in which we do not collect sales and use or similar taxes, although some of these states consider software-as-a-service to be exempt from sales and use tax or the state does not charge sales and use tax, one or more of the remaining states may assert that we had economic nexus with such state and were required to collect such taxes with respect to past or future services,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and certain credit and capital loss carryforwards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2023, we had approximately $866.0 million of federal NOL carryforwards, $41.8 million of tax effected state NOL carryforwards, $1.6 million and $0.1 of federal and state research and development credit carryforwards, respectively. The federal NOL carryforwards for years before 2018 begin to expire in 2026, the state NOL carryforwards began to expire in 2022 and federal research and development credit carryforwards begin to expire in 2027. Federal NOL carryforwards totaling $636.8 million generated in 2018 and after do not expire and can be carried forward indefinitely. Based on our analysis of changes in the ownership of our stock through December 31, 2023, we do not believe that any such changes prior to such date resulted in significant limitations under Section 382 of the Code on our ability to utilize NOL and credit carryforwards generated prior to that date. However, changes in the ownership of our stock after December 31, 2023, some of which are outside of our control, could result in an ownership change under Section 382 of the Code after such date, which could significantly limit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8"/>
          <w:szCs w:val="18"/>
          <w:color w:val="auto"/>
        </w:rPr>
        <w:t>our ability to utilize our existing and future NOL and credit carryforwards arising at any time prior to such ownership change. In addition, certain of our NOLs for years before 2019 may be subject to a separate set of limitations applicable to losses from “separate return years,” which may limit our ability to use such losses against the income of our consolidated group. We have recorded a full valuation allowance against the deferred tax assets attributable to our NOL and our research and development credit carryforwards.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Strategic Initiatives</w:t>
      </w:r>
    </w:p>
    <w:p>
      <w:pPr>
        <w:spacing w:after="0" w:line="117"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w:t>
      </w:r>
    </w:p>
    <w:p>
      <w:pPr>
        <w:spacing w:after="0" w:line="2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We may be unable to identify attractive acquisition or investment opportunities due to, among other things, the intense competition for these transactions. The pursuit of potential acquisitions may divert the attention of management and cause us to incur various expenses in identifying, investigating and pursuing suitable acquisitions or investments, whether or not they are consummated. Even if we are successful in identifying suitable acquisitions or investments, we may be unable to complete them due to, among other things, an inability to obtain in the anticipated timeframe, or at all, any regulatory approvals required to complete proposed acquisitions and other strategic transactions.</w:t>
      </w:r>
    </w:p>
    <w:p>
      <w:pPr>
        <w:spacing w:after="0" w:line="18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enterprise platform and software as a service and contract terms, including disparities in the revenue, licensing, support or professional services model of the acquired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7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acceptable terms or at all. 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currently party to, and may enter into future, in-bound intellectual property license agreements. We may not be able to fully protect the intellectual property rights licensed to us or maintain those licenses. Our licensors may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In addition, such licenses may only provide us with non-exclusive rights, which could allow other third parties, including our competitors, to utilize the licensed intellectual property rights. Further, our in-bound license agreements may impose various diligence, commercialization, royalty or other obligations on us. Our licensors may allege that we have breached our license agreement with them, and accordingly seek to terminate our license, which could adversely affect our competitive business position and harm our business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anti-corruption, trade compliance and economic sanctions laws and regulations of the United States and applicable international jurisdictions could materially adversely affect our reputation and results of operations.</w:t>
      </w:r>
    </w:p>
    <w:p>
      <w:pPr>
        <w:spacing w:after="0" w:line="5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We must comply with anti-corruption laws and regulations imposed by governments around the world with jurisdiction over our operations, which may include the FCPA in the United States,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U.K. Bribery Act of 2010 (the “UK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As part of our business, we may deal with governments and state-owned business enterprises, the employees and representatives of which may be considered public officials for purposes of the FCPA.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4" w:name="page45"/>
    <w:bookmarkEnd w:id="44"/>
    <w:p>
      <w:pPr>
        <w:ind w:firstLine="509"/>
        <w:spacing w:after="0" w:line="252" w:lineRule="auto"/>
        <w:rPr>
          <w:sz w:val="20"/>
          <w:szCs w:val="20"/>
          <w:color w:val="auto"/>
        </w:rPr>
      </w:pPr>
      <w:r>
        <w:rPr>
          <w:rFonts w:ascii="Times New Roman" w:cs="Times New Roman" w:eastAsia="Times New Roman" w:hAnsi="Times New Roman"/>
          <w:sz w:val="18"/>
          <w:szCs w:val="18"/>
          <w:color w:val="auto"/>
        </w:rPr>
        <w:t>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may operate lack a developed legal system and have elevated levels of corruption. Our business also must be conducted in compliance with applicable export controls and trade and economic sanctions laws and regulations, including those of the U.S. government, the governments of other countries in which we will operate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Our provision of services outside of the United States exposes us to the risk of violating, or being accused of violating, anti-corruption, exports controls and trade compliance and economic sanctions laws and regulations. Our failure to successfully comply with these laws and regulations may expose us to reputational harm as well as significant sanctions, including criminal fines, imprisonment, civil penalties, disgorgement of profits, injunctions and suspension or debarment from government contracts, as well as other remedial measures. Investigations of alleged violations can be expensive and disruptive. Though we have implemented an anti-corruption policy as well as formal training and monitoring programs, we cannot assure compliance by our employees or representatives for which we may be held responsible, and any such violation could materially adversely affect our reputation, business, financial condition and results of operations.</w:t>
      </w:r>
    </w:p>
    <w:p>
      <w:pPr>
        <w:spacing w:after="0" w:line="30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conduct digital care services in a particular jurisdiction is directly dependent upon the applicable laws governing remote care, the practice of medicine and healthcare delivery in general in such location, which are subject to changing political, regulatory and other influences. With respect to digital care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digital care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digital care services, it is uncertain how long the relaxed policies will remain in effect. However, although many of the executive orders have expired, several states have made permanent changes to their telehealth requirements, which in most cases will result in increased access to telehealth services. Most of the federal waivers have been extended through December 31, 2024.</w:t>
      </w:r>
    </w:p>
    <w:p>
      <w:pPr>
        <w:spacing w:after="0" w:line="19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digital care. Some states impose strict standards on using digital care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services, and our business would be adversely affected if those relationships were disrupted.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is a risk that authorities in some jurisdictions may find that our contractual relationships with AMG and AMG’s physicians providing digital care violate laws prohibiting the corporate practice of medicine or fee-splitting. These laws generally prohibit the practice of medicine by or sharing of professional fees with lay persons or entities and are intended to prevent unlicensed persons or entities from interfering with or inappropriately influencing the physician’s professional judgment. Generally, we are prohibited from exercising control over the medical judgments or decisions of physicians or engaging in certain financial arrangements, such as splitting professional fees with physicians. The extent to which each state considers particular actions or contractual relationships to constitute improper influence of professional judgment varies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t>across the states and is subject to change and to evolving interpretations by state boards of medicine and state attorneys general, among others. As such, we must monitor our compliance with laws in every jurisdiction in which we operate on an ongoing basis and we cannot guarantee that subsequent interpretation of the corporate practice of medicine laws will not circumscribe our business operations. The enforcement of state corporate practice of medicine doctrines may result in the imposition of penalties on physicians themselves for aiding the corporate practice of medicine, which could discourage physicians from participating in our network of providers.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corporate practice of medicine prohibition exists in some form, by statute, regulation, board of medicine or attorney general guidance, or case law, in more than 40 states, all of which we operate in, though the broad variation between state application and enforcement of the doctrine makes an exact count difficult. Due to the prevalence of the corporate practice of medicine doctrine, including in the states where we predominantly conduct our business, we provide administrative and management services to entities associated with AMG pursuant to which those entities reserve exclusive control and responsibility for all aspects of the practice of medicine and the delivery of medical services. We do not own our AMG-affiliated entities. For example, AMG affiliated entities are owned by Dr. Cynthia Horner, our Chief Medical Officer. We in turn contract with these entities through business support agreements and direct transfer agreements for the provision of health care services and the receipt of fees. For further discussion of this structure, see “Item</w:t>
      </w:r>
    </w:p>
    <w:p>
      <w:pPr>
        <w:spacing w:after="0" w:line="3" w:lineRule="exact"/>
        <w:rPr>
          <w:sz w:val="20"/>
          <w:szCs w:val="20"/>
          <w:color w:val="auto"/>
        </w:rPr>
      </w:pPr>
    </w:p>
    <w:p>
      <w:pPr>
        <w:ind w:right="80" w:firstLine="8"/>
        <w:spacing w:after="0" w:line="253"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Business—Physicians and Healthcare Professionals.” While we expect that these relationships will continue, we cannot guarantee that they will. A material change in our relationship with AMG, whether resulting from a dispute among the entities, a change in government regulation, or the loss of these affiliations, could impair our ability to provide services to our consumers and could have a material adverse effect on our business, financial condition and results of operations.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arrangement in which we have entered to comply with state corporate practice of medicine doctrines could subject us to additional scrutiny by federal and state regulatory bodies regarding federal and state fraud and abuse laws. Any scrutiny, investigation, or litigation with regard to our arrangement with AMG could have a material adverse effect on our business, financial condition and results of operations, particularly if we are unable to restructure our operations and arrangements to comply with applicable laws or we are required to restructure at a significant cost, or if we were subject to penalties or other adverse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consumers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offered to clients, or their members and patients, which could have a material adverse effect on our business, financial condition and results of operations.</w:t>
      </w:r>
    </w:p>
    <w:p>
      <w:pPr>
        <w:spacing w:after="0" w:line="3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U.S. healthcare industry is heavily regulated and closely scrutinized by federal and state governments. Comprehensive statutes and regulations govern the manner in which we provide and bill for services and collect reimbursement from governmental programs and private payers, our contractual relationships with AMG and its corresponding relationship with its providers, vendors and clients, our marketing activities and other aspects of our operations. Of particular importance are:</w:t>
      </w:r>
    </w:p>
    <w:p>
      <w:pPr>
        <w:spacing w:after="0" w:line="72" w:lineRule="exact"/>
        <w:rPr>
          <w:sz w:val="20"/>
          <w:szCs w:val="20"/>
          <w:color w:val="auto"/>
        </w:rPr>
      </w:pPr>
    </w:p>
    <w:p>
      <w:pPr>
        <w:ind w:left="1020" w:hanging="503"/>
        <w:spacing w:after="0" w:line="281"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w:t>
      </w:r>
    </w:p>
    <w:p>
      <w:pPr>
        <w:spacing w:after="0" w:line="56" w:lineRule="exact"/>
        <w:rPr>
          <w:rFonts w:ascii="Times New Roman" w:cs="Times New Roman" w:eastAsia="Times New Roman" w:hAnsi="Times New Roman"/>
          <w:sz w:val="17"/>
          <w:szCs w:val="17"/>
          <w:color w:val="auto"/>
        </w:rPr>
      </w:pPr>
    </w:p>
    <w:p>
      <w:pPr>
        <w:ind w:left="1020" w:right="8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also imposes certain regulatory and contractual requirements regarding the privacy, security and transmission of PHI;</w:t>
      </w:r>
    </w:p>
    <w:p>
      <w:pPr>
        <w:spacing w:after="0" w:line="117" w:lineRule="exact"/>
        <w:rPr>
          <w:rFonts w:ascii="Times New Roman" w:cs="Times New Roman" w:eastAsia="Times New Roman" w:hAnsi="Times New Roman"/>
          <w:sz w:val="18"/>
          <w:szCs w:val="18"/>
          <w:color w:val="auto"/>
        </w:rPr>
      </w:pPr>
    </w:p>
    <w:p>
      <w:pPr>
        <w:jc w:val="both"/>
        <w:ind w:left="1020" w:right="3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that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of payment rules that prohibit certain types of billing and collection practices in connection with claims payable by the Medicare or Medicaid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7" w:name="page48"/>
    <w:bookmarkEnd w:id="47"/>
    <w:p>
      <w:pPr>
        <w:ind w:left="1020" w:right="3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could potentially harm consumers;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regulate debt collection practices as applied to our debt collection practices;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that imposes criminal penalties on healthcare providers who fail to disclose or refund known overpayments;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and the OIG, have continued their scrutiny of healthcare providers, which has led to a number of investigations, prosecutions, convictions and settlements in the healthcare industry. Dealing with investigations can be time-and resource-consuming and can divert management’s attention from the business. Any such investigation or settlement could increase our costs or otherwise have an adverse effect on our business. In addition, because of the potential for large monetary exposure under the federal False Claims Act, healthcare providers often resolve allegations without admissions of liability for significant and material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it is expected that the government will continue to devote substantial resources to investigating healthcare providers’ compliance with the healthcare reimbursement rules and fraud and abuse laws.</w:t>
      </w:r>
    </w:p>
    <w:p>
      <w:pPr>
        <w:spacing w:after="0" w:line="188"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conduct digital care services internationally is subject to the applicable laws governing remote care and the practice of medicine in such location, and the interpretation of these laws is evolving and varies significantly from country to county and are enforced by governmental, judicial and regulatory authorities with broad discretion. We cannot be certain that our interpretation of such laws and regulations are correct in how we structure our operations, our arrangements with physicians, services agreements and client arrangements.</w:t>
      </w:r>
    </w:p>
    <w:p>
      <w:pPr>
        <w:spacing w:after="0" w:line="180"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6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personally identifiable information, including PHI, personal data, and other health information, is subject to state, federal and foreign privacy and security regulations, and our failure to comply with those regulations or to adequately secure the information we hold could result in significant liability or reputational harm and, in turn, a material adverse effect on our client base, member and patient bases and revenue.</w:t>
      </w:r>
    </w:p>
    <w:p>
      <w:pPr>
        <w:spacing w:after="0" w:line="6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(“PII”) stored, maintained, received or transmitted electronically is a major issue in the United States and abroad. While we strive to comply with all applicable privacy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60"/>
        <w:spacing w:after="0" w:line="255" w:lineRule="auto"/>
        <w:rPr>
          <w:sz w:val="20"/>
          <w:szCs w:val="20"/>
          <w:color w:val="auto"/>
        </w:rPr>
      </w:pPr>
      <w:r>
        <w:rPr>
          <w:rFonts w:ascii="Times New Roman" w:cs="Times New Roman" w:eastAsia="Times New Roman" w:hAnsi="Times New Roman"/>
          <w:sz w:val="18"/>
          <w:szCs w:val="18"/>
          <w:color w:val="auto"/>
        </w:rPr>
        <w:t>security laws and regulations, as well as our own posted privacy policies, legal standards for privacy, including but not limited to “unfairness” and “deception,” as enforced by the FTC and state attorneys general, continue to evolve and any failure or perceived failure to comply may result in proceedings or actions against us by government entities or others, or could cause us to lose clients,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we send short message service, or SMS, text messages to potential end users who are eligible to use our service through certain clients and partners. While we obtain consent from or on behalf of these individuals to send text messages, federal or state regulatory authorities or private litigants may claim that the notices and disclosures we provide, form of consents we obtain or our SMS texting practices, are not adequate. These SMS texting campaigns are potential sources of risk for class action lawsuits and liability for our company. Numerous class-actions suits under federal and state laws have been filed in the past year against companies who conduct SMS texting programs, with many resulting in multi-million-dollar settlements to the plaintiffs. Any future such litigation against us could be costly and time-consuming to defend.</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publish statements to our clients and clients that describe how we handle and protect personal information.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FTC and HHS enforcement actions and class-actions suits under federal and state laws have been filed in the past year against healthcare companies alleged to have failed to protect personal information. Any such litigation against us could be costly and time-consuming to defend.</w:t>
      </w:r>
    </w:p>
    <w:p>
      <w:pPr>
        <w:spacing w:after="0" w:line="18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(i) state privacy and confidentiality laws (including state laws requiring disclosure of breaches); (ii) HIPAA; and (iii) European and other foreign data protection laws.</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HIPAA establishes a set of basic national privacy and security standards for the protection of PHI, by health plans, healthcare clearinghouses and certain healthcare providers, referred to as covered entities, and the business associates with whom such covered entities contract for services, which includes us. We are considered a business associate under HIPAA; AMG is considered a covered entity.</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HIPAA requires healthcare entities like us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the U.S. Department of Health and Human Services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the U.S. federal government and various states and governmental agencies have adopted or are considering adopting various laws, regulations, rules and standards regarding the collection, use, retention, security, disclosure, transfer and other processing of sensitive and personal information. For example, the California Confidentiality of Medical Information Act imposes restrictive requirements regulating the use and disclosure of health information and other personally identifiable information, and the California Privacy Rights Act increases privacy rights for California residents and imposes obligations on companies that process their personal information. Where state laws are more protective than HIPAA, we have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440"/>
        <w:spacing w:after="0" w:line="282" w:lineRule="auto"/>
        <w:rPr>
          <w:sz w:val="20"/>
          <w:szCs w:val="20"/>
          <w:color w:val="auto"/>
        </w:rPr>
      </w:pPr>
      <w:r>
        <w:rPr>
          <w:rFonts w:ascii="Times New Roman" w:cs="Times New Roman" w:eastAsia="Times New Roman" w:hAnsi="Times New Roman"/>
          <w:sz w:val="18"/>
          <w:szCs w:val="18"/>
          <w:color w:val="auto"/>
        </w:rPr>
        <w:t>to comply with the stricter provisions. Violations of these laws could result in significant fines and penalties, and, if these laws afford private rights of action to individuals, data breach litigation.</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are numerous foreign laws, regulations, rules, standards and directives regarding privacy and the collection, storage, transmission, use, processing, disclosure and protection of PII and other personal or client data, the scope of which is continually evolving and subject to differing interpretations. If we provide digital care services outside the United States, we must comply with such laws, regulations and directives and we may be subject to significant consequences, including penalties and fines, for our failure to comply. For example, we must comply with GDPR and the applicable national data protection laws in the European Union and the UK GDPR in the United Kingdom. The GDPR and the UK GDPR may increasingly diverge from each other, exposing us to additional compliance obligations. Further, European data protection law also imposes strict rules on the transfer of personal data out of the EEA to the United States; for example, in July 2020, the CJEU limited how organizations could lawfully transfer personal data from the EEA to the United States by invalidating the EU-US Privacy Shield and imposing further restrictions on use of the standard contractual clauses, which could affect our ability to efficiently process personal data from the EEA. These obligations may be interpreted and applied in a manner that is inconsistent from one jurisdiction to another and may conflict with other requirements or our practices. The EU-US Privacy Shield has been replaced by an enhanced legal mechanism for data transfer namely the EU-US DPF and the UK Extension to the DPF. However, the validity of the DPF is likely to be challenged before the CJEU.</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For example, because of increasing concerns about health information privacy, through guidance documents, some government agencies are taking a newly expansive view of the scope of information subject to the laws and regulations that they enforce. Federal, state and foreign enforcement bodies have recently increased their scrutiny of interactions between healthcare companies and healthcare providers,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any of which could have an adverse effect on our business.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privacy and security laws and regulations are constantly evolving and our failure to comply with such changes could result in significant liability or reputational harm and, in turn, a material adverse effect on our client base, patient and members bases and revenue.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clients. For example, some countries have adopted laws mandating that PII regarding clients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of the extreme sensitivity of the PII and PHI we store and transmit, the security features of our enterprise platform and software as a service are very important. If our security measures, some of which are managed by third parties, are breached or fail, unauthorized persons may be able to obtain access to sensitive client and member data, including PHI. As a result, our reputation could be severely damaged, adversely affecting client and member confidence. Consumers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ind w:right="140"/>
        <w:spacing w:after="0" w:line="258" w:lineRule="auto"/>
        <w:rPr>
          <w:sz w:val="20"/>
          <w:szCs w:val="20"/>
          <w:color w:val="auto"/>
        </w:rPr>
      </w:pPr>
      <w:r>
        <w:rPr>
          <w:rFonts w:ascii="Times New Roman" w:cs="Times New Roman" w:eastAsia="Times New Roman" w:hAnsi="Times New Roman"/>
          <w:sz w:val="18"/>
          <w:szCs w:val="18"/>
          <w:color w:val="auto"/>
        </w:rPr>
        <w:t>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consumers’ proprietary and protected health information.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and the ownership of Class B common stock by our Founders will have the effect of concentrating voting control with our Founders for the foreseeable future, which will limit or preclude your ability to influence corporate matters.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so long as any shares of our Class B common stock remain outstanding, our Founders will at all times hold at least 51% of the voting power of the voting stock of the Company. As a result, our Founders, as the holders of Class B common stock, collectively will continue to control a majority of the total combined voting power of our outstanding common stock and therefore be able to control all matters submitted to our stockholders for approval, including elections for directors, mergers or acquisitions, asset sales and other significant transactions, so long as the Class B common stock remain outstanding. Even in the event that one of our Founders converts all or a portion of his shares of Class B common stock into shares of Class A common stock, the Class B common stock held by one or both or our Founders outstanding after such conversion would still be entitled to 51% of the voting power of the voting stock of the Company for so long as any Class B shares remain outstanding, subject to the conditions in our amended and restated certificate of incorporation, while the Founder who converted his shares into shares of Class A common stock, together with the Class C shares in the case of votes other than for directors, would dilute the relative voting power of existing holders of Class A common stock as his Class A common stock would be entitled to a pro rata portion of the 49% vote to which the Class A common shares, together with the Class C shares in the case of votes other than for directors, are entitled. In this circumstance, the Founders would be entitled to more than 51% of the voting power of our common stock. This concentrated control will limit your ability to influence corporate matters for the foreseeable future. For example, our Founders will be able to control the amendments of our amended and restated certificate of incorporation or by-laws, increases to the number of shares available for issuance 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300"/>
        <w:spacing w:after="0" w:line="282" w:lineRule="auto"/>
        <w:rPr>
          <w:sz w:val="20"/>
          <w:szCs w:val="20"/>
          <w:color w:val="auto"/>
        </w:rPr>
      </w:pPr>
      <w:r>
        <w:rPr>
          <w:rFonts w:ascii="Times New Roman" w:cs="Times New Roman" w:eastAsia="Times New Roman" w:hAnsi="Times New Roman"/>
          <w:sz w:val="18"/>
          <w:szCs w:val="18"/>
          <w:color w:val="auto"/>
        </w:rPr>
        <w:t>our equity incentive plans or adoption of new equity incentive plans and approval of any merger or sale of assets for the foreseeable future. This control may materially adversely affect the market price of our Class A common stock.</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Additionally, the Founders, the holders of our Class B common stock may cause us to make strategic decisions or pursue acquisitions that could involve risks to you or which may not be aligned with your interests. The holders of our Class B common stock will also be entitled to a separate vote in the event we seek to amend our amended and restated certificate of incorporation in a manner that adversely affects the holders of our Class B common stock.</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Finally, as noted above, any conversion of existing shares of Class B or Class C common stock would dilute the relative voting power of all holders of shares of Class A common stock. As of December 31, 2023, the Company had 32,945,952 shares of Class A common stock reserved for issuance upon conversion of Class B and Class C common stock. To the extent that the holders of Class B or Class C common stock convert their shares, your proportional vote out of the 49% vote to which the Class A shares (together with the Class C shares, in the case of votes other than for directors) are entitled while shares of Class B common stock remain outstanding will be diluted.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multiple class structure may depress the trading price or liquidity of our Class A common stock.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multiple class structure may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dual or multiple class structures. As a result, the multiple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 The difference in the voting rights of our Class A, Class B and Class C common stock could harm the value of our Class A common stock to the extent that any investor or potential future purchaser of our Class A common stock ascribes value to the right of holders of our Class B common stock to hold at all times 51% of our voting power. The existence of multiple classes of common stock could also result in less liquidity for our Class A common stock than if there were only one class of our common stock.</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could discourage, delay or prevent a change of control of our company and may affect the trading price of our Class A common stock.</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 collectively:</w:t>
      </w:r>
    </w:p>
    <w:p>
      <w:pPr>
        <w:spacing w:after="0" w:line="68" w:lineRule="exact"/>
        <w:rPr>
          <w:sz w:val="20"/>
          <w:szCs w:val="20"/>
          <w:color w:val="auto"/>
        </w:rPr>
      </w:pPr>
    </w:p>
    <w:p>
      <w:pPr>
        <w:ind w:left="1020" w:right="4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three classes of common stock with disparate voting power, the Class A common stock that is listed on the NYSE, the Class B common stock that provide the holders thereof with the ability to control the outcome of matters requiring stockholder approval, even though such holders own significantly less than a majority of the shares of our outstanding Class A, Class B and Class C common stock, and the Class C common stock that do not have a vote on director elections;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prevent a takeover attempt;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classification of our Board of Directors into separate classes of directors to be elected on a staggered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actions to be taken at a duly called meeting of the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holders of at least 75% of the total combined voting power of the outstanding shares of our common stock to amend our amended and restated by-laws and certain provisions of our amended and restated certificate of incorporation; and</w:t>
      </w:r>
    </w:p>
    <w:p>
      <w:pPr>
        <w:spacing w:after="0" w:line="53" w:lineRule="exact"/>
        <w:rPr>
          <w:rFonts w:ascii="Times New Roman" w:cs="Times New Roman" w:eastAsia="Times New Roman" w:hAnsi="Times New Roman"/>
          <w:sz w:val="18"/>
          <w:szCs w:val="18"/>
          <w:color w:val="auto"/>
        </w:rPr>
      </w:pPr>
    </w:p>
    <w:p>
      <w:pPr>
        <w:jc w:val="both"/>
        <w:ind w:left="1020" w:right="3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from any premium to the market price of our Class A common stock offered by a bidder in a takeover context. Even in the absence of a takeover attempt, the existence of these provisions may adversely affect the prevailing market price of our Class A common stock if the provisions are viewed as discouraging takeover attempts in the future.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Furthermore, the existence of the foregoing provisions, as well as the significant voting power that our Founders hold, could limit the price that investors might be willing to pay in the future for shares of our Class A common stock. These provisions may facilitate management and board entrenchment that may delay, deter, render more difficult or prevent a change in our control, which may not be in the best interests of our stockholders.</w:t>
      </w:r>
    </w:p>
    <w:p>
      <w:pPr>
        <w:spacing w:after="0" w:line="287"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NYSE rules and, as a result, we qualify for, and rely on, exemptions from certain corporate governance requirements. You will not have the same protections afforded to stockholders of companies that are subject to such requirements.</w:t>
      </w:r>
    </w:p>
    <w:p>
      <w:pPr>
        <w:spacing w:after="0" w:line="2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Founders hold 51% of the total combined voting power of our outstanding common stock. Accordingly, we qualify as a “controlled company” within the meaning of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members of our board of directors be independent directors;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and nominating and corporate governance committee be composed entirely of independent directors.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rely on these exemptions. However, we could elect to rely on them in the future. Consequently, you will not have the same protections afforded to stockholders of companies that are subject to all of NYSE corporate governance rules and requirements. Our status as a controlled company could make our Class A common stock less attractive to some investors or otherwise harm our stock price.</w:t>
      </w:r>
    </w:p>
    <w:p>
      <w:pPr>
        <w:spacing w:after="0" w:line="280"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provision of our amended and restated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our amended and restated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 does not apply to claims arising under the Securities Act, the Exchange Act or other federal securities laws for which there is exclusive federal or concurrent federal and state jurisdiction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firstLine="509"/>
        <w:spacing w:after="0" w:line="282"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our amended and restated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 and fluctuate substantially.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stock price has been volatile in the past and may continue to be volatile in the future. The stock market has experienced extreme volatility that has often been unrelated to the operating performance of particular companies. The market price for our Class A common stock may be influenced by many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in the market that the holders of a large number of shares intend to sell shares, could reduce the market price of our Class A common stock. As of February 2, 2024, we had outstanding 256,306,641 shares of Class A common stock, 27,390,397 shares of Class B common stock and 5,555,555 shares of Class C common stock. Moreover, certain stockholders have rights, subject to specified conditions, to require us to file registration statements covering their shares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If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4" w:name="page55"/>
    <w:bookmarkEnd w:id="54"/>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will be your sole source of gain, if any.</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Any future debt agreements may preclude us from paying dividends. As a result, capital appreciation, if any, of our Class A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Cybersecurity risk management is an integral part of our enterprise risk management program. Our cybersecurity program is designed to align with industry best practices and provide a framework for handling cybersecurity threats and incidents, including threats and incidents associated with the use of services provided by third-party service providers.</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Board has overall oversight responsibility for our risk management and is briefed periodically on cybersecurity risk management and any material cybersecurity incidents by our Chief Information Officer, or CIO, and General Counsel. The Board is responsible for ensuring that management has processes in place designed to (i) identify and evaluate cybersecurity risks to which the company is exposed and (ii) manage cybersecurity risks and mitigate cybersecurity incidents.</w:t>
      </w:r>
    </w:p>
    <w:p>
      <w:pPr>
        <w:spacing w:after="0" w:line="72"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Specifically, our Security Steering Committee ("SSC"), a cross-functional team of employees chaired by our CIO, is responsible for providing strategic guidance and execution oversight to Amwell’s privacy, risk and security programs and policies. Management has instituted an Information Security Management System ("ISMS"). The ISMS establishes risk-based safeguards that are designed to adequately protect the Company and information acquired through business operations. Amwell maintains its ISMS in accordance with ISO 27001 standards. Amwell is audited annually by a third-party assessment firm that determines the effectiveness of the procedures and processes of its ISMS. Amwell also self-assesses the performance and effectiveness of the ISMS through monitoring, measurement, analysis, and evaluation of controls and control objectives. The SSC ensures the workforce complies with the ISMS policies, procedures and controls through many channels, including annual review of audit and risk assessment results, multifactor authentication, annual employee training and company-wide communications.</w:t>
      </w:r>
    </w:p>
    <w:p>
      <w:pPr>
        <w:spacing w:after="0" w:line="86"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Our team of cybersecurity focused employees, under the direction of our CIO, is responsible for assessing our cybersecurity risk and detecting, mitigating and remediating cybersecurity incidents. Our CIO and dedicated personnel are certified and experienced information systems security professionals and information security managers. Personnel with significant security responsibilities receive specialized education and training on their roles and responsibilities prior to being granted access to systems and resources. The pre-employment process for these roles is designed to ensure that security responsibilities are specifically defined. Our CIO has over 25 years of technology leadership experience.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Amwell’s cybersecurity team has implemented processes to:</w:t>
      </w:r>
    </w:p>
    <w:p>
      <w:pPr>
        <w:spacing w:after="0" w:line="117" w:lineRule="exact"/>
        <w:rPr>
          <w:sz w:val="20"/>
          <w:szCs w:val="20"/>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severity of a cybersecurity threat through continuous monitoring and determine the nature, scope and timing of the event to assess whether it is material;</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source of a cybersecurity threat, including whether the cybersecurity threat is associated with a third-party service provider, utilizing our Information Security Incident Response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cybersecurity countermeasures and mitigation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inform our board of directors of material cybersecurity threats and incidents.</w:t>
      </w:r>
    </w:p>
    <w:p>
      <w:pPr>
        <w:spacing w:after="0" w:line="117" w:lineRule="exact"/>
        <w:rPr>
          <w:sz w:val="20"/>
          <w:szCs w:val="20"/>
          <w:color w:val="auto"/>
        </w:rPr>
      </w:pPr>
    </w:p>
    <w:p>
      <w:pPr>
        <w:ind w:right="320" w:firstLine="554"/>
        <w:spacing w:after="0" w:line="261" w:lineRule="auto"/>
        <w:rPr>
          <w:sz w:val="20"/>
          <w:szCs w:val="20"/>
          <w:color w:val="auto"/>
        </w:rPr>
      </w:pPr>
      <w:r>
        <w:rPr>
          <w:rFonts w:ascii="Times New Roman" w:cs="Times New Roman" w:eastAsia="Times New Roman" w:hAnsi="Times New Roman"/>
          <w:sz w:val="18"/>
          <w:szCs w:val="18"/>
          <w:color w:val="auto"/>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“Risk Factors – Risks Related to Our Business and Industry” and “Risk Factors – Risks Related to Government Regulation" in this annual report on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in Boston, Massachusetts and is a LEED certified building. We also have an office in Ramat Gan, Israel, Tysons Corner, Virginia and Dublin, Ireland. All of our office locations are leased. We also maintain hardware inventory in facilities based in San Diego, California.</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instituted a remote work policy which has allowed us to reduce our office footprint, including approximately 50% of our corporate headquarters footprint, reducing the climate impact associated with our team members’ commuting. We will continue to assess the need for space taking into consideration the change in workplace dynamic driven by the COVID-19 pandemic. We believe that our facilities are adequate to meet our needs for the immediate future, and that, should it be needed, suitable additional space will be available to accommodate any such expansion.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56" w:name="page57"/>
    <w:bookmarkEnd w:id="5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Class A common stock is listed on the NYSE under the symbol “AMWL”.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there were 170 stockholders of record of our Class A common stock, two stockholders of record of our Class B common stock and one stockholder of record of our Class C common stock. The actual number of holders of our Class A common stock is greater than the number of record holders, and includes stockholders who are beneficial owners, but whose shares are held in street name by brokers or other nominees. The number of holders of record present here also do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cash dividends on our capital stock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hereunder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no purchases of its common stock for any month during the fourth quarter of the fiscal year covered by this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American Well Corporation under the Securities Act or the Exchange Act.</w:t>
      </w:r>
    </w:p>
    <w:p>
      <w:pPr>
        <w:spacing w:after="0" w:line="17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Class A common stock with the comparable cumulative return of the Russell 2000 composite index and S&amp;P 500 Health Care Services index. The graph assumes that $100 was invested in our Class A common stock and in each index on September 17, 2020, the date our Class A common stock began trading on the NYSE. The comparisons are based on historical data and are not necessarily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125730</wp:posOffset>
            </wp:positionV>
            <wp:extent cx="5391785" cy="2888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178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Fiscal year ended December 31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3742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In addition to historical consolidated financial information, the following discussion and analysis and information contains forward-looking statements that involve risks, uncertainties and assumptions. Our actual results could differ materially from those anticipated by these forward-looking statements as a result of many factors. Factors that could cause or contribute to such differences include, but are not limited to, those identified below and those discussed in “Special Note Regarding Forward-Looking Statements” and “Item 1A. Risk Factors.”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Amwell is a leading enterprise platform and software as a service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Our enterprise platform and software as a service solutions enable hybrid care delivery by offering our clients products to help weave digital care across all care settings. We bring technology and services that facilitate new models of care, strategic partnerships, consistent execution and better outcomes. As of December 31, 2023, we powered the digital care programs of more than 50 health plans, which collectively represent more than 100 million covered lives, as well as approximately 115 of the nation’s largest health systems. Since inception, we have powered more than 27.2 million virtual care visits for our clients, including more than 6.3 million in the year ended December 31, 2023.</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sell our enterprise platform and software as a service solutions on a subscription basis, which with our modular platform architecture allows our clients to introduce innovative digital care use cases over time, expanding our subscription revenue opportunity. To support the enterprise platform and software as a service, we offer professional services on a fee-for-service basis and a range of patient and provider Carepoint devices and software that support hospital and home use cases and access to AMG, our affiliated medical group that provides clinical services on a fee-for-service basis. The combination of the enterprise platform, professional services and Carepoint hardware allows our clients to deploy digital care solutions across their full enterprise, deepening their relationships with existing and new patients and members through improved care access and coordination, cost and quality. Our contracts are typically three years in length but may be longer for our largest strategic client partners.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Factors Affecting Our Performance</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 Systems: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Number of Health System Clients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154</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Health System Subscription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million</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 million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54.7 million</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Annual Contract Value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 thousand</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401 thousand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356 thousand</w:t>
            </w:r>
          </w:p>
        </w:tc>
      </w:tr>
    </w:tbl>
    <w:p>
      <w:pPr>
        <w:spacing w:after="0" w:line="1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Health System</w:t>
      </w:r>
      <w:r>
        <w:rPr>
          <w:rFonts w:ascii="Times New Roman" w:cs="Times New Roman" w:eastAsia="Times New Roman" w:hAnsi="Times New Roman"/>
          <w:sz w:val="18"/>
          <w:szCs w:val="18"/>
          <w:color w:val="auto"/>
        </w:rPr>
        <w:t>: A health system is an enterprise platform client whose primary business case is the delivery of care by its providers. A typical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client has many hospitals within its system. The average number of health system clients is calculated by averaging the number of such clients under contract at the beginning and end of each fiscal year. The decline in number of health system client is due to consolidation in the market as well as churn experienced with re-platforming.</w:t>
      </w:r>
    </w:p>
    <w:p>
      <w:pPr>
        <w:spacing w:after="0" w:line="1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System Subscription Revenue: </w:t>
      </w:r>
      <w:r>
        <w:rPr>
          <w:rFonts w:ascii="Times New Roman" w:cs="Times New Roman" w:eastAsia="Times New Roman" w:hAnsi="Times New Roman"/>
          <w:sz w:val="18"/>
          <w:szCs w:val="18"/>
          <w:color w:val="auto"/>
        </w:rPr>
        <w:t>Health System subscription revenue consists of all platform-related fees for a health system,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licenses, fees related to software modules, and overage charges, and primarily represents the fee to access the enterprise platform over the contractual period. Subscription revenue may include immaterial amounts from non-health system clients whose business model acts similarly to those clients.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9" w:name="page60"/>
    <w:bookmarkEnd w:id="59"/>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Average Annual Contract Value: </w:t>
      </w:r>
      <w:r>
        <w:rPr>
          <w:rFonts w:ascii="Times New Roman" w:cs="Times New Roman" w:eastAsia="Times New Roman" w:hAnsi="Times New Roman"/>
          <w:sz w:val="18"/>
          <w:szCs w:val="18"/>
          <w:color w:val="auto"/>
        </w:rPr>
        <w:t>Average annual contract value is defined as total health system subscription revenue for the fiscal period divided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number of health system clients.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 Plans: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75"/>
        </w:trPr>
        <w:tc>
          <w:tcPr>
            <w:tcW w:w="4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r>
      <w:tr>
        <w:trPr>
          <w:trHeight w:val="23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Number of Health Plan Clients</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20"/>
                <w:szCs w:val="20"/>
                <w:color w:val="auto"/>
              </w:rPr>
            </w:pP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Health Plan Subscription Revenue</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million</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 million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 million</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Annual Contract Value</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 thousand</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862 thousand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723 thousand</w:t>
            </w: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Plan</w:t>
      </w:r>
      <w:r>
        <w:rPr>
          <w:rFonts w:ascii="Times New Roman" w:cs="Times New Roman" w:eastAsia="Times New Roman" w:hAnsi="Times New Roman"/>
          <w:sz w:val="18"/>
          <w:szCs w:val="18"/>
          <w:color w:val="auto"/>
        </w:rPr>
        <w:t>: A health plan is an enterprise platform client whose primary business case is managing the healthcare financial risk of its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number of health plan clients is calculated by averaging the number of such clients under contract at the beginning and end of each fiscal year.</w:t>
      </w:r>
    </w:p>
    <w:p>
      <w:pPr>
        <w:spacing w:after="0" w:line="20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Plan Subscription Revenue: </w:t>
      </w:r>
      <w:r>
        <w:rPr>
          <w:rFonts w:ascii="Times New Roman" w:cs="Times New Roman" w:eastAsia="Times New Roman" w:hAnsi="Times New Roman"/>
          <w:sz w:val="18"/>
          <w:szCs w:val="18"/>
          <w:color w:val="auto"/>
        </w:rPr>
        <w:t>Health Plan subscription revenue consists of all platform-related fees for a health plan, including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per member/per month charges and fees related to clinical programs, and primarily represents the fee to access the enterprise platform over the contractual period. Subscription revenue may include immaterial amounts from non-health plan clients whose business model acts similarly to those clients.</w:t>
      </w:r>
    </w:p>
    <w:p>
      <w:pPr>
        <w:spacing w:after="0" w:line="18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Average Annual Contract Value: </w:t>
      </w:r>
      <w:r>
        <w:rPr>
          <w:rFonts w:ascii="Times New Roman" w:cs="Times New Roman" w:eastAsia="Times New Roman" w:hAnsi="Times New Roman"/>
          <w:sz w:val="18"/>
          <w:szCs w:val="18"/>
          <w:color w:val="auto"/>
        </w:rPr>
        <w:t>Annual contract value is defined as total health plan subscription revenue for the fiscal period divided by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health plan clients.</w:t>
      </w:r>
    </w:p>
    <w:p>
      <w:pPr>
        <w:spacing w:after="0" w:line="16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Digital Care Utilization</w:t>
      </w:r>
    </w:p>
    <w:p>
      <w:pPr>
        <w:spacing w:after="0" w:line="121"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Digital care utilization is a key driver of our business. A client’s overall utilization of its digital care platform provides an important measure of the value they derive. Digital care utilization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 to reflect this growing value. Third, to the extent that clients utilize provider services from AMG, Amwell derives revenue from clinical fees. We expect that our future revenues will be driven by the growing adoption of digital care and our ability to maintain and grow market share within that market.</w:t>
      </w:r>
    </w:p>
    <w:p>
      <w:pPr>
        <w:spacing w:after="0" w:line="17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continue to experience strong digital care adoption and usage of our enterprise platform and software as a service. In the year ended December 31, 2022, our clients completed a total of 6.5 million visits on our enterprise platform, while in the year ended December 31, 2023, 6.3 million visits were completed. The decrease in number of visits is due in part to the churn experienced with re-platforming as well as a decline in the number of scheduled visits. Scheduled visits were 4.1 million and 4.6 million during the years ended December 31, 2023 and 2022, respectively. AMG providers accounted for 25% and 25% of total visits performed on our enterprise platform during the years ended December 31, 2023 and 2022, respectively.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Visits:</w:t>
      </w:r>
    </w:p>
    <w:p>
      <w:pPr>
        <w:spacing w:after="0" w:line="2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Overall Visits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6,465,000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5,885,000</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AMG Visits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1,590,000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1,640,000</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1,480,000</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Visit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 million</w:t>
            </w: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124.3 million</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116.6 million</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Visit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r>
    </w:tbl>
    <w:p>
      <w:pPr>
        <w:spacing w:after="0" w:line="90" w:lineRule="exact"/>
        <w:rPr>
          <w:sz w:val="20"/>
          <w:szCs w:val="20"/>
          <w:color w:val="auto"/>
        </w:rPr>
      </w:pPr>
    </w:p>
    <w:p>
      <w:pPr>
        <w:ind w:left="900" w:right="20" w:hanging="51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we revised our methodology of how we count visits in our Amwell Psychiatric Care business which is part of our AMG visits. This change resulted in an adjustment to the number of visits reported as of December 31, 2021. The numbers included in the table above reflect the current methodology.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AMG Visit</w:t>
      </w:r>
      <w:r>
        <w:rPr>
          <w:rFonts w:ascii="Times New Roman" w:cs="Times New Roman" w:eastAsia="Times New Roman" w:hAnsi="Times New Roman"/>
          <w:sz w:val="18"/>
          <w:szCs w:val="18"/>
          <w:color w:val="auto"/>
        </w:rPr>
        <w:t>: An AMG visit is a case completed by our AMG affiliate providers and visit revenue reflects fee-for-service revenue to AMG for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Active Providers</w:t>
      </w:r>
    </w:p>
    <w:p>
      <w:pPr>
        <w:spacing w:after="0" w:line="121"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Historically, an important indicator of the value of our enterprise platform and software as a service to our clients was the number of non-AMG providers that are active on the enterprise platform. We defined “Active Providers” as providers that have delivered a visit on the enterprise platform at least once in the last 12 months. Active Providers was initially provided as an indicator that the activity on our platform in a post pandemic world was healthy and sustained.</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Currently with the majority of our volume on Converge, our clients now aim to improve outcomes less by adding providers, and instead by increasing the number of patients each provider can care for by using our platform capabilities, including our automated programs. We plan to sunset this metric in 2024 and not longer report on this as a key metric and factor affecting our performance.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Total Active Providers: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580" w:type="dxa"/>
            <w:vAlign w:val="bottom"/>
            <w:tcBorders>
              <w:bottom w:val="single" w:sz="8" w:color="auto"/>
            </w:tcBorders>
          </w:tcPr>
          <w:p>
            <w:pPr>
              <w:jc w:val="right"/>
              <w:ind w:right="515"/>
              <w:spacing w:after="0" w:line="169" w:lineRule="exact"/>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r>
      <w:tr>
        <w:trPr>
          <w:trHeight w:val="237"/>
        </w:trPr>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AMG</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Providers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99,500</w:t>
            </w:r>
          </w:p>
        </w:tc>
        <w:tc>
          <w:tcPr>
            <w:tcW w:w="2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103,500</w:t>
            </w:r>
          </w:p>
        </w:tc>
        <w:tc>
          <w:tcPr>
            <w:tcW w:w="26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tcPr>
          <w:p>
            <w:pPr>
              <w:spacing w:after="0"/>
              <w:rPr>
                <w:sz w:val="20"/>
                <w:szCs w:val="20"/>
                <w:color w:val="auto"/>
              </w:rPr>
            </w:pPr>
          </w:p>
        </w:tc>
      </w:tr>
      <w:tr>
        <w:trPr>
          <w:trHeight w:val="241"/>
        </w:trPr>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Active Providers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left="900" w:right="120" w:hanging="518"/>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we revised our methodology of calculating Active Providers as part of our efforts to account for unique providers who conduct visits on multiple platforms and products. This change resulted in an adjustment to the number of active providers reported as of December 31, 2021. The numbers included in the table above reflect the current methodology.</w:t>
      </w:r>
    </w:p>
    <w:p>
      <w:pPr>
        <w:spacing w:after="0" w:line="65"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AMG</w:t>
      </w:r>
      <w:r>
        <w:rPr>
          <w:rFonts w:ascii="Times New Roman" w:cs="Times New Roman" w:eastAsia="Times New Roman" w:hAnsi="Times New Roman"/>
          <w:sz w:val="18"/>
          <w:szCs w:val="18"/>
          <w:color w:val="auto"/>
        </w:rPr>
        <w:t>: providers from our affiliated Amwell Medical Group</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Client Providers</w:t>
      </w:r>
      <w:r>
        <w:rPr>
          <w:rFonts w:ascii="Times New Roman" w:cs="Times New Roman" w:eastAsia="Times New Roman" w:hAnsi="Times New Roman"/>
          <w:sz w:val="18"/>
          <w:szCs w:val="18"/>
          <w:color w:val="auto"/>
        </w:rPr>
        <w:t>: our Health Plan and Health System client’s own providers (non-AMG providers) that are active on the enterprise platform</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Active Providers</w:t>
      </w:r>
      <w:r>
        <w:rPr>
          <w:rFonts w:ascii="Times New Roman" w:cs="Times New Roman" w:eastAsia="Times New Roman" w:hAnsi="Times New Roman"/>
          <w:sz w:val="18"/>
          <w:szCs w:val="18"/>
          <w:color w:val="auto"/>
        </w:rPr>
        <w:t>: providers that have delivered a visit on the enterprise platform at least once in the last 12 months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 in Growth</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focus on long-term revenue growth through investments in technology development and sales and marketing efforts. In addition, we believe continued investments in platform modules and clinical programs will allow us to further penetrate our products and services into our existing client relationships and new opportunities. Accordingly, in the short term we expect these activities to result in net losses, but in the long term, we anticipate that these investments will positively impact our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expanded and intend to continue to expand our enterprise platform and software as a service through research and development as well as the pursuit of selective acquisitions. We have completed multiple acquisitions since our inception, which we believe have expanded the channels that we serve and our distribution capabilities as well as broadening our service offering. Our acquisitions of SilverCloud and Conversa add proven longitudinal care and behavioral healthcare capabilities to our digital care enablement platform. SilverCloud is a leading digital mental health platform. Conversa is a leader in automated virtual healthcare. Acquisition costs and integration costs are an additional one-time cost incurred as part of the acquisitions and investment in the future growth of the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t>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interest income and other income, net, (ii) tax benefit and expense, (iii) depreciation and amortization, (iv) goodwill impairment, (v) stock-based compensation expense, (vi) severance, (vii) public offering expenses, (viii) acquisition-related expenses, capitalized software costs, (ix) capitalized software, (x) litigation expenses related to the defense of our patents in the patent infringement claim filed by Teladoc and (xi) other items affecting our results that we do not view as representative of our ongoing operations, including direct and incremental expenses associated with the COVID-19 pandemic. We had no such other items during the years ended December 31, 2023, 2022 and 2021.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each of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1140" w:type="dxa"/>
            <w:vAlign w:val="bottom"/>
          </w:tcPr>
          <w:p>
            <w:pPr>
              <w:spacing w:after="0"/>
              <w:rPr>
                <w:sz w:val="20"/>
                <w:szCs w:val="20"/>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(176,782 )</w:t>
            </w:r>
          </w:p>
        </w:tc>
      </w:tr>
      <w:tr>
        <w:trPr>
          <w:trHeight w:val="239"/>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31,492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26,153</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16,089</w:t>
            </w:r>
          </w:p>
        </w:tc>
      </w:tr>
      <w:tr>
        <w:trPr>
          <w:trHeight w:val="239"/>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47"/>
        </w:trPr>
        <w:tc>
          <w:tcPr>
            <w:tcW w:w="1140" w:type="dxa"/>
            <w:vAlign w:val="bottom"/>
          </w:tcPr>
          <w:p>
            <w:pPr>
              <w:spacing w:after="0"/>
              <w:rPr>
                <w:sz w:val="21"/>
                <w:szCs w:val="21"/>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benefit from income taxes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(5,376 )</w:t>
            </w:r>
          </w:p>
        </w:tc>
      </w:tr>
      <w:tr>
        <w:trPr>
          <w:trHeight w:val="239"/>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436,479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72,040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69,144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43,809</w:t>
            </w:r>
          </w:p>
        </w:tc>
      </w:tr>
      <w:tr>
        <w:trPr>
          <w:trHeight w:val="243"/>
        </w:trPr>
        <w:tc>
          <w:tcPr>
            <w:tcW w:w="1140" w:type="dxa"/>
            <w:vAlign w:val="bottom"/>
          </w:tcPr>
          <w:p>
            <w:pPr>
              <w:spacing w:after="0"/>
              <w:rPr>
                <w:sz w:val="21"/>
                <w:szCs w:val="21"/>
                <w:color w:val="auto"/>
              </w:rPr>
            </w:pPr>
          </w:p>
        </w:tc>
        <w:tc>
          <w:tcPr>
            <w:tcW w:w="4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40" w:type="dxa"/>
            <w:vAlign w:val="bottom"/>
          </w:tcPr>
          <w:p>
            <w:pPr>
              <w:spacing w:after="0"/>
              <w:rPr>
                <w:sz w:val="21"/>
                <w:szCs w:val="21"/>
                <w:color w:val="auto"/>
              </w:rPr>
            </w:pPr>
          </w:p>
        </w:tc>
        <w:tc>
          <w:tcPr>
            <w:tcW w:w="452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Public offering expenses</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1,223</w:t>
            </w:r>
          </w:p>
        </w:tc>
      </w:tr>
      <w:tr>
        <w:trPr>
          <w:trHeight w:val="239"/>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Acquisition-related (income) expenses</w:t>
            </w: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7,289</w:t>
            </w:r>
          </w:p>
        </w:tc>
      </w:tr>
      <w:tr>
        <w:trPr>
          <w:trHeight w:val="195"/>
        </w:trPr>
        <w:tc>
          <w:tcPr>
            <w:tcW w:w="1140" w:type="dxa"/>
            <w:vAlign w:val="bottom"/>
          </w:tcPr>
          <w:p>
            <w:pPr>
              <w:spacing w:after="0"/>
              <w:rPr>
                <w:sz w:val="16"/>
                <w:szCs w:val="16"/>
                <w:color w:val="auto"/>
              </w:rPr>
            </w:pPr>
          </w:p>
        </w:tc>
        <w:tc>
          <w:tcPr>
            <w:tcW w:w="4520" w:type="dxa"/>
            <w:vAlign w:val="bottom"/>
            <w:gridSpan w:val="2"/>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Noncash expenses and contingent consideration</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68"/>
        </w:trPr>
        <w:tc>
          <w:tcPr>
            <w:tcW w:w="1140" w:type="dxa"/>
            <w:vAlign w:val="bottom"/>
          </w:tcPr>
          <w:p>
            <w:pPr>
              <w:spacing w:after="0"/>
              <w:rPr>
                <w:sz w:val="23"/>
                <w:szCs w:val="23"/>
                <w:color w:val="auto"/>
              </w:rPr>
            </w:pPr>
          </w:p>
        </w:tc>
        <w:tc>
          <w:tcPr>
            <w:tcW w:w="4520" w:type="dxa"/>
            <w:vAlign w:val="bottom"/>
            <w:gridSpan w:val="2"/>
            <w:shd w:val="clear" w:color="auto" w:fill="CFF0FC"/>
          </w:tcPr>
          <w:p>
            <w:pPr>
              <w:spacing w:after="0" w:line="267"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4"/>
                <w:szCs w:val="24"/>
                <w:color w:val="auto"/>
                <w:vertAlign w:val="superscript"/>
              </w:rPr>
              <w:t>(3)</w:t>
            </w:r>
          </w:p>
        </w:tc>
        <w:tc>
          <w:tcPr>
            <w:tcW w:w="30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12,153</w:t>
            </w:r>
          </w:p>
        </w:tc>
        <w:tc>
          <w:tcPr>
            <w:tcW w:w="1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(10,987 )</w:t>
            </w:r>
          </w:p>
        </w:tc>
      </w:tr>
      <w:tr>
        <w:trPr>
          <w:trHeight w:val="239"/>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4520" w:type="dxa"/>
            <w:vAlign w:val="bottom"/>
            <w:tcBorders>
              <w:bottom w:val="single" w:sz="8" w:color="CFF0FC"/>
            </w:tcBorders>
            <w:gridSpan w:val="2"/>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Litigation expense</w:t>
            </w:r>
            <w:r>
              <w:rPr>
                <w:rFonts w:ascii="Times New Roman" w:cs="Times New Roman" w:eastAsia="Times New Roman" w:hAnsi="Times New Roman"/>
                <w:sz w:val="24"/>
                <w:szCs w:val="24"/>
                <w:color w:val="auto"/>
                <w:vertAlign w:val="superscript"/>
              </w:rPr>
              <w:t>(4)</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2,182</w:t>
            </w:r>
          </w:p>
        </w:tc>
      </w:tr>
      <w:tr>
        <w:trPr>
          <w:trHeight w:val="232"/>
        </w:trPr>
        <w:tc>
          <w:tcPr>
            <w:tcW w:w="11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(165,364 )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(175,261 )</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(122,673 )</w:t>
            </w:r>
          </w:p>
        </w:tc>
      </w:tr>
      <w:tr>
        <w:trPr>
          <w:trHeight w:val="20"/>
        </w:trPr>
        <w:tc>
          <w:tcPr>
            <w:tcW w:w="1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1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-342265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-342265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900" w:hanging="51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associated with the termination of employees during the year ended December 31 2023.</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expenses include non-recurring expenses incurred in relation to our secondary offering for the year ended December 31, 2021.</w:t>
      </w:r>
    </w:p>
    <w:p>
      <w:pPr>
        <w:spacing w:after="0" w:line="117" w:lineRule="exact"/>
        <w:rPr>
          <w:rFonts w:ascii="Times New Roman" w:cs="Times New Roman" w:eastAsia="Times New Roman" w:hAnsi="Times New Roman"/>
          <w:sz w:val="18"/>
          <w:szCs w:val="18"/>
          <w:color w:val="auto"/>
        </w:rPr>
      </w:pPr>
    </w:p>
    <w:p>
      <w:pPr>
        <w:ind w:left="900" w:right="600" w:hanging="51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expenses and contingent consideration adjustments include, noncash compensation costs incurred by selling shareholders and adjustments made to the contingent consideration.</w:t>
      </w:r>
    </w:p>
    <w:p>
      <w:pPr>
        <w:spacing w:after="0" w:line="53" w:lineRule="exact"/>
        <w:rPr>
          <w:rFonts w:ascii="Times New Roman" w:cs="Times New Roman" w:eastAsia="Times New Roman" w:hAnsi="Times New Roman"/>
          <w:sz w:val="18"/>
          <w:szCs w:val="18"/>
          <w:color w:val="auto"/>
        </w:rPr>
      </w:pPr>
    </w:p>
    <w:p>
      <w:pPr>
        <w:ind w:left="900" w:right="40" w:hanging="51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expense relates to legal costs related to the Teladoc litigation which was dismissed pursuant to a confidential settlement between the parties in 2022.</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2" w:name="page63"/>
    <w:bookmarkEnd w:id="62"/>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 to time.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has demonstrated the strength of our revenue as a direct result of the increasing acceptance of digital care, our penetration of the market, and the successful launch of new or expanded products that enable broadened applications for care delivered virtually. Revenue performance is reflective of the strong foundation that has been built, focused around health plans, health systems, our provider network.</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revenues from the use of our enterprise platform and software as a service in the form of recurring subscription fees for use, and related services and Carepoint sales. We also generate revenue from the performance of AMG patient visits.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Excluding Amortization of Intangible Assets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Cost of revenues primarily consist of hosting fees paid to our hosting providers, costs incurred in connection with our professional services, technical and hosting support, and costs for running our affiliated provider network operations team. These costs primarily include employee-related expenses (including salaries, bonuses, benefits, stock-based compensation and travel).</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Cost of revenues are primarily driven by the size of our provider network and the hosting and technical support required to service our clients. Our business model is designed to be scalable and to leverage fixed costs to generate higher revenues. While we currently expect increased investments to support accelerated growth, we also expect increased efficiencies and economies of scale. Our quarterly cost of revenues as a percentage of revenues is expected to fluctuate from period to period depending on the interplay of these aforementioned factors.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and general and administrative expenses.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and hardware engineering, information technology infrastructure, security and compliance and product development (inclusive of stock-based compensation for our research and development employees). Research and development expenses also include the periodic outsourcing of similar functions to third party specialists. In recent years, we accelerated the expansion of our enterprise platform volume capacity and the development of additional functionality through new programs and modules. We have also expanded the use of offshore resources to provide more efficient rates which are designed to offset the increased research and development spend. While we have recognized an increase in the research and development expense throughout the prior years, the corresponding future revenue growth is expected to result in lower expenses as a percentage of revenue. This increased spend represents an investment in a more scalable and economically beneficial solution that will properly position the Company to benefit in the long term. We believe the increase in spend in the prior years was temporary and we have seen a gradual decline during 2023 as we return to normal levels of spend in future periods.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may also fluctuate as a percentage of our total revenue from period to period due to the seasonality of our total revenue and the timing and extent of our research and development expenses. We accelerated our multiyear technology investment to accommodate the anticipated significant growth in market demand for increasingly broad and sophisticated digital care enablement infrastructure</w:t>
      </w:r>
      <w:r>
        <w:rPr>
          <w:rFonts w:ascii="Times New Roman" w:cs="Times New Roman" w:eastAsia="Times New Roman" w:hAnsi="Times New Roman"/>
          <w:sz w:val="21"/>
          <w:szCs w:val="21"/>
          <w:color w:val="auto"/>
        </w:rPr>
        <w:t>.</w:t>
      </w:r>
    </w:p>
    <w:p>
      <w:pPr>
        <w:spacing w:after="0" w:line="2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Sales expenses consist primarily of employee-related expenses, including salaries, benefits, commissions, travel and stock-based compensation costs for our employees engaged in commercial activities. We will continue to invest appropriately in sales expenses as we look to grow with new prospects and expand the business of our existing clients. We will continue to elevate the skills and impact of our sales personnel and related account management teams as we look to provide a differentiated and enhanced client experience to our growing client base as well as identifying new strategic market opportunities.</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Marketing costs consist primarily of personnel and related expenses (inclusive of stock-based compensation) for our marketing staff that primarily support the sales organization and client engagement. Marketing costs also include third-party independent research, digital marketing campaigns, participation in trade shows, brand messaging, public relations costs, and the costs of communication materials that are produced to generate awareness and utilization of our enterprise platform and software as a service among our clients and their users.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 to decrease as a percentage of our total revenue in future periods. Our sales and marketing expenses will fluctuate as a percentage of our total revenue from period to period due to the seasonality of our total revenue and the timing and extent of our advertising and marketing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and related expenses, and professional fees incurred by finance, legal, human resources, information technology, our executives, and executive administration staff. They also include stock-based compensation for employees in these departments and expenses related to auditing, consulting, legal, and corporate insurance.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decrease as a percentage of our total revenue over the next several years. Our general and administrative expenses may fluctuate as a percentage of our total revenue from period to period due to the seasonality of our total revenue and the timing and extent of our general and administrative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includes the amortization of intangible assets and depreciation related to our fixed assets. Amortization of intangible assets consists of the amortization of acquisition-related intangible assets, which are customer relationships, contractor relationships, technology and trade names, as well as the amortization of capitalized software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Goodwill impairment is the result of the fair value of the Company's one reporting unit being less than its carrying value. The goodwill impairment resulted from sustained decreases in the Company's publicly quoted share price and market capitalization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balance of interest income and other income (expense), net, consists predominantly of interest income on our money-market and short-term investments. We did not incur material interest expenses in the period as there were no outstanding debts or notes payables.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right="360" w:firstLine="515"/>
        <w:spacing w:after="0" w:line="282" w:lineRule="auto"/>
        <w:rPr>
          <w:sz w:val="20"/>
          <w:szCs w:val="20"/>
          <w:color w:val="auto"/>
        </w:rPr>
      </w:pPr>
      <w:r>
        <w:rPr>
          <w:rFonts w:ascii="Times New Roman" w:cs="Times New Roman" w:eastAsia="Times New Roman" w:hAnsi="Times New Roman"/>
          <w:sz w:val="18"/>
          <w:szCs w:val="18"/>
          <w:color w:val="auto"/>
        </w:rPr>
        <w:t>The income tax provision and benefit were primarily due to state and foreign income tax expense, and benefit related to release of the valuation allowance as a result of our acquisitions.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4" w:name="page65"/>
    <w:bookmarkEnd w:id="64"/>
    <w:p>
      <w:pPr>
        <w:ind w:right="320" w:firstLine="515"/>
        <w:spacing w:after="0" w:line="266" w:lineRule="auto"/>
        <w:rPr>
          <w:sz w:val="20"/>
          <w:szCs w:val="20"/>
          <w:color w:val="auto"/>
        </w:rPr>
      </w:pPr>
      <w:r>
        <w:rPr>
          <w:rFonts w:ascii="Times New Roman" w:cs="Times New Roman" w:eastAsia="Times New Roman" w:hAnsi="Times New Roman"/>
          <w:sz w:val="18"/>
          <w:szCs w:val="18"/>
          <w:color w:val="auto"/>
        </w:rPr>
        <w:t>Deferred tax assets are reduced by a valuation allowance to the extent management believes it is not more likely than not to be realized. The ultimate realization of deferred tax assets is dependent upon the generation of future taxable income. Management makes estimates and judgments about future taxable income based on assumptions that are consistent with our plans and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summarized consolidated statement of operations data for the years ended December 31, 2023, 2022 and 2021 and the dollar and percentage change between the respective periods: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w w:val="94"/>
              </w:rPr>
              <w:t>Years Ended December 31,</w:t>
            </w: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5"/>
              </w:rPr>
              <w:t>Fiscal Year 2023 to Fiscal Year 2022</w:t>
            </w:r>
          </w:p>
        </w:tc>
        <w:tc>
          <w:tcPr>
            <w:tcW w:w="100" w:type="dxa"/>
            <w:vAlign w:val="bottom"/>
          </w:tcPr>
          <w:p>
            <w:pPr>
              <w:spacing w:after="0"/>
              <w:rPr>
                <w:sz w:val="13"/>
                <w:szCs w:val="13"/>
                <w:color w:val="auto"/>
              </w:rPr>
            </w:pPr>
          </w:p>
        </w:tc>
        <w:tc>
          <w:tcPr>
            <w:tcW w:w="212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6"/>
              </w:rPr>
              <w:t>Fiscal Year 2022 to Fiscal Year 2021</w:t>
            </w:r>
          </w:p>
        </w:tc>
        <w:tc>
          <w:tcPr>
            <w:tcW w:w="0" w:type="dxa"/>
            <w:vAlign w:val="bottom"/>
          </w:tcPr>
          <w:p>
            <w:pPr>
              <w:spacing w:after="0"/>
              <w:rPr>
                <w:sz w:val="1"/>
                <w:szCs w:val="1"/>
                <w:color w:val="auto"/>
              </w:rPr>
            </w:pPr>
          </w:p>
        </w:tc>
      </w:tr>
      <w:tr>
        <w:trPr>
          <w:trHeight w:val="159"/>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259,047</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277,190</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252,789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(18,143 )</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24,401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operating expenses: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Costs of revenue, excluding depreciation and</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164,287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160,422</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148,474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11,948</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105,827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138,487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106,594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(32,660 )</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31,893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86,460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81,628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66,154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4,832</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15,474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126,645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146,353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94,624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(19,708 )</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51,729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31,492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26,153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16,089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10,064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436,479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436,479</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951,190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553,043</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431,935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398,147</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121,108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(692,143 )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(275,853 )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(179,146 )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(416,290 )</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(96,707 )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and other income (expense), net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19,422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6,123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217 %</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6,003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0" w:type="dxa"/>
            <w:vAlign w:val="bottom"/>
            <w:tcBorders>
              <w:top w:val="single" w:sz="8" w:color="CFF0FC"/>
            </w:tcBorders>
          </w:tcPr>
          <w:p>
            <w:pPr>
              <w:ind w:left="200"/>
              <w:spacing w:after="0" w:line="133" w:lineRule="exact"/>
              <w:rPr>
                <w:sz w:val="20"/>
                <w:szCs w:val="20"/>
                <w:color w:val="auto"/>
              </w:rPr>
            </w:pPr>
            <w:r>
              <w:rPr>
                <w:rFonts w:ascii="Times New Roman" w:cs="Times New Roman" w:eastAsia="Times New Roman" w:hAnsi="Times New Roman"/>
                <w:sz w:val="14"/>
                <w:szCs w:val="14"/>
                <w:color w:val="auto"/>
              </w:rPr>
              <w:t>Loss before benefit (expense) from income taxes and</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from</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(672,721 )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(269,730 )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(179,026 )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(402,991 )</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149 %</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(90,704 )</w:t>
            </w:r>
          </w:p>
        </w:tc>
        <w:tc>
          <w:tcPr>
            <w:tcW w:w="1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85"/>
        </w:trPr>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equity method investment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benefit from income taxes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(3,796 )</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5,931 %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854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(679,171 )</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(272,072 )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(176,782 )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(407,099 )</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(95,290 )</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(2,364 )</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attributable to American Well Corporation</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(675,164 )</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(270,429 )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(176,334 )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(404,735 )</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(94,095 )</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-1122045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-1122045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-1122045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-1122045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-1122045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-1122045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-890905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-890905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-890905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-890905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-890905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subscription revenue declined $8.6 million due to customer churn during re-platforming, partially offset by growth in our existing strategic clients. While our aggregated number of health systems clients has declined during re-platforming, we have retained the majority of our historically significant clients and with the Converge platform have been able to strengthen and expand our strategic clients during the year. Visit revenue decreased $4.9 million due to a decline in visit volume and lower utilization in specialty care. Other revenue decreased by $4.7 million primarily related to a decrease in hardware and services revenue.</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the increase in revenue from the prior period was substantially driven by an increase in subscription revenue. While our aggregated number of health systems clients has declined this has not resulted in a revenue decline as we have retained our more significant clients and these clients have expanded their use of our enterprise platform and software as a service. Subscription revenue increased by $12.7 million, or 12% driven by expanded use of our enterprise platform and software as a service by existing clients through increased number of members they provided access to the enterprise platform and software as a service, increased number of programs, increased modules and increased volume of care delivered on our enterprise platform and software as a service by our clients’ own providers. Visit revenue earned from AMG patient visits increased by $7.7 million. The increase was primarily due to increased visit volume in urgent care believed to be driven by the impact of seasonal viruses as well as the Omicron variants, as well as visit volume from new clients. Other revenue increased by $4.0 million due to increased professional service revenue for new clients.</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309" w:right="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 Excluding Depreciation and Amortization of Intangible Assets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increase in cost of revenue was primarily due to an increase of $4.5 million in employee-related costs such as salary and benefits for the fulfilment of professional service obligations. Third party software costs also increased $3.0 million. These increases were partially offset by a decrease in hardware costs of $2.4 million due to the decline in hardware revenue and a decline in provider related costs of $1.3 million due to a decrease in visits. The decrease in gross margin contribution is a result of a shift in revenue mix.</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increase in cost of revenue was primarily due to an increase of $4.0 million in consulting costs and $3.0 million related to employee-related costs due to increased headcount. There was also an increase in provider costs of $4.1 million due to increased visits.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decrease in research and development expense was primarily driven by a decrease of $24.8 million in consulting services as spend related to the development of the Converge platform has declined (contributing to this decrease was $15.1 million capitalized as software development costs) as well as a decrease of $1.2 million in third party software costs. There was a decrease in $0.7 million in employee related costs and $0.6 million in recruiting and hew hire costs due to a reduction in headcount. Research and development expense also decreased as there was no non-cash compensation in the current year related to the SilverCloud acquisition, and there was a charge of $3.4 million in the prior year due to the settlement of the SilverCloud bonus escrow award in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the increase in research and development expense was primarily driven by an increase of $14.6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services primarily for the Converge platform (an additional $10.2 million was capitalized as software development costs). There was also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increase in employee-related costs (inclusive of stock compensation expense) due to increased headcount. There was also an increase in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compensation of $2.8 million primarily related the acceleration of the bonus escrow award for the SilverCloud acquisition.</w:t>
      </w:r>
    </w:p>
    <w:p>
      <w:pPr>
        <w:spacing w:after="0" w:line="20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Total research and development employee headcount decreased to 332 on December 31, 2023, as compared to 358 on December 31, 2022 and 347 on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increase in sales and marketing expense primarily consisted of $11.0 million in employee-related costs including severance, stock compensation expense (related to accelerated vesting on an executive grant), and headcount realignment. This increase was partially offset by a decrease of $2.1 million in advertising spend, $1.2 million reduced spend on conferences and tradeshows. Sales and marketing expense also decreased as there was no non-cash compensation in the current year related to the SilverCloud acquisition, and there was a charge of $2.2 million in the prior year due to the settlement of the SilverCloud bonus escrow award in 2022.</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increase in sales and marketing expense primarily consisted of $7.6 million in employee-related costs (inclusive of commissions and stock compensation expense) due to increased headcount. Consulting expense increased $2.3 million mainly related to marketing campaigns and services for system integration. There was also an increase of $1.8 million related to meals and travel and $1.4 million related to conferences and company meetings that did not occur in the prior year. There was also an increase in non-cash compensation of $1.8 million primarily related the acceleration of the bonus escrow award for the SilverCloud acquisition.</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Total sales and marketing employee headcount increased to 304 on December 31, 2023, as compared to 291 on December 31, 2022 and 249 on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decrease in general and administrative expense was driven by a decrease of $6.0 million in legal costs mainly due to the Teladoc litigation settlement in the second quarter of 2022. There was no non-cash compensation or earnout adjustment in the current year, while there were total charges of $6.5 million in the prior year, due to the settlement of the SilverCloud bonus escrow awards and the SilverCloud revenue earnout in 2022. Due to a reduction in headcount employee related expenses decreased by $2.5 million and recruiting and new hire costs decrease $0.9 million. There was also a decrease in insurance costs of $2.9 million.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6" w:name="page67"/>
    <w:bookmarkEnd w:id="66"/>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increase in general and administrative expense was driven by an increase related to employee-related costs (inclusive of $23.2 million of stock compensation expense) of approximately $33.5 million, due to additional equity awards granted in 2022 and headcount increase. There was an increase of $2.8 million in system costs to enhance administrative processing. In addition, there was an increase in contingent consideration adjustments recorded of $14.7 million related to the Conversa and SilverCloud revenue earnouts and an increase in non-cash compensation of $3.8 million primarily related the acceleration of the bonus escrow award for the SilverCloud acquisition. There was also a decrease of $5.9 million in consulting costs as there were no acquisitions in the current year and two acquisitions in the prior year.</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excluding the increase in stock-based compensation, are expected to remain relatively flat in future periods as we have now recognized the impact of the regulatory and compliance costs associated with being a publicly traded company and scaled the Company to meet these complexities and requirements.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employee headcount decreased to 229 on December 31, 2023, as compared to 248 on December 31, 2022 and 221 on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remained consistent for the year ended December 31, 2023. Amortization expense increased by $6.2 million for the year ended December 31, 2023. The increase in amortization was related to the amortization of the internally developed software intangible assets.</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remained consistent for the year ended December 31, 2022. Amortization expense increased by $10.7 million for the year ended December 31, 2022. The increase in amortization was related to a full year of amortization related to the intangible assets acquired in the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goodwill was impaired by $436.5 million (or $1.54 per basic and diluted share) as a result of sustained decreases in the Company's publicly quoted share price and market capitalization.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interest income and other expenses consist primarily of interest income and gains from our cash equivalents and short-term investments, the increase in interest income is due to the increase in interest rates on investments held during the year (investments matured just prior to December 31, 2023).</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interest income and other expenses consist primarily of interest income and gains from our cash equivalents and short-term investments, the decline in interest income is due to the decline in the investments held during the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Benefit from Income Taxes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Income tax expense was $3.9 million for the year ended December 31, 2023, compared to income tax expense of $0.1 million for the year ended December 31, 2022. The increase in the expense is primarily due to an increase in foreign tax expense.</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was $0.1 million for the year ended December 31, 2022, compared to income tax benefit of $5.4 million for the year ended December 31, 2021. The decrease in the benefit is primarily due to the fact we released part of the valuation allowance in the prior year in the U.S. due to the Acquisitions the Company continues to be in a net loss position and have minimal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financial policies of CCAW, JV LLC. Therefore, the Company accounts for its investments in CCAW, JV LLC using the equity method of accounting.</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a loss of $2.6 million and $2.3 million as its proportionate share of the joint venture results of operations,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 activity for the periods set forth below:</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December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Statements of Cash Flows Data:</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(148,343 )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(192,323 )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(141,537 )</w:t>
            </w: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(59,633 )</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2,147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5,754</w:t>
            </w: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(165,364 )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(207,565 )</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Financing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were cash, cash equivalents and short-term investments totaling $372.0 million as of December 31, 2023, which were held for a variety of growth initiatives and investments as well as working capital purposes. Our cash, cash equivalents and short-term investments are comprised of money market funds and marketable securities including U.S. Treasury bills.</w:t>
      </w:r>
    </w:p>
    <w:p>
      <w:pPr>
        <w:spacing w:after="0" w:line="176"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As shown in the accompanying consolidated financial statements, the Company incurred a loss from operations of $692.1 million and a net loss of $679.2 million for year ended December 31, 2023 and had an accumulated deficit of $1,757.8 million as of December 31, 2023.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no debt as of December 31, 2023 and expects to generate operating losses in future years.</w:t>
      </w:r>
    </w:p>
    <w:p>
      <w:pPr>
        <w:spacing w:after="0" w:line="225"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meet our working capital and capital expenditure needs for at least the next 12 months from the issuance date of the financial statements. Our future capital requirements will depend on many factors including our growth rate, contract renewal activity, number of consultations on our enterprise platform, the timing and extent of spending to support product development efforts, our expansion of sales and marketing activities, the introduction of new and enhanced services offerings, and the continuing market acceptance of digital care services. We may in the future enter into arrangements to acquire or invest in complementary businesses, services and technologies and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cash used in operating activities was $148.3 million. The primary driver of this use of cash was our net loss of $679.2 million. The net loss, excluding impairment charge, was reflective of the investments made back into the Company (from a technology and infrastructure perspective), partially offset by the overall growth of our business including expansion of business with existing clients. The net loss was partially offset by non-cash expenses of $546.3 million (primarily goodwill impairment of $436.5 million, stock-based compensation of $72.2 million and depreciation and amortization of $31.5 million).</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cash used in operating activities was $192.3 million. The primary driver of this use of cash was our net loss of $272.1 million. The net loss for the year was reflective of the investments made back into the Company (from both a personnel and technology perspective), partially offset by the overall growth of our business from expanded use of our enterprise software by existing clients through increased number of members they provided access to the enterprise software, increased number of programs, increased modules and increased volume of care delivered on our enterprise software by our clients’ own providers. The net loss was partially offset by non-cash expenses of $107.8 million (primarily stock-based compensation of $67.7 million and depreciation and amortization of $26.2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cash used in operating activities was $141.5 million. The primary driver of this use of cash was our net loss of $176.8 million. The net loss for the year was reflective of the investments made back into the Company (from both a personnel and technology perspective), partially offset by the overall growth of our business including an increase in new clients and expansion of business with existing clients. The net loss was partially offset by non-cash expenses of $63.0 million (primarily stock-based compensation of $43.8 million and depreciation and amortization of $16.1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$19.2 million for the year ended December 31, 2023. Cash used in investing activities consisted of $15.1 million of capitalized software development costs, a $3.9 million investment in the less than majority owned joint venture, and purchases of investments of $390.0 million offset by $390.0 million in proceeds from maturities of investments.</w:t>
      </w:r>
    </w:p>
    <w:p>
      <w:pPr>
        <w:spacing w:after="0" w:line="176"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Cash used in investing activities was $11.6 million for the year ended December 31, 2022. Cash used in investing activities consisted of a $2.0 million investment in the CCAW, JV LLC joint venture with Cleveland Clinic, $10.2 million of capitalized software development costs, $0.3 million in the purchases of property and equipment, and purchases of investments of $499.2 million offset by $500.0 million in proceeds from maturities of investments.</w:t>
      </w:r>
    </w:p>
    <w:p>
      <w:pPr>
        <w:spacing w:after="0" w:line="15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$59.6 million for the year ended December 31, 2021. Cash used in investing activities consisted of $156.5 million in acquisitions of businesses, a $2.5 million investment in the CCAW, JV LLC joint venture with Cleveland Clinic and $0.6 million in the purchases of property and equipment offset by $100.0 million in proceeds from maturities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$2.1 million. Cash provided by financing activities consisted of $2.7 million of proceeds from the exercise of employee stock options and employee stock purchase plan, offset by $0.6 in the repurchase of stock to cover tax withholding obligations upon vesting of restricted stock units.</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2022, was $3.6 million. Cash used in financing activities consisted of the payment of the Conversa integration earnout of $11.8 million, partially offset by $8.2 million of proceeds from the exercise of employee stock options and employee stock purchase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$5.8 million. Cash provided by financing activities consisted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of proceeds from the exercise of employee stock options. These proceeds were offset by cash payments primarily for the purchase of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$15.0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220" w:type="dxa"/>
            <w:vAlign w:val="bottom"/>
          </w:tcPr>
          <w:p>
            <w:pPr>
              <w:spacing w:after="0"/>
              <w:rPr>
                <w:sz w:val="11"/>
                <w:szCs w:val="11"/>
                <w:color w:val="auto"/>
              </w:rPr>
            </w:pPr>
          </w:p>
        </w:tc>
        <w:tc>
          <w:tcPr>
            <w:tcW w:w="88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4 to 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3,698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8,308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49,850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15,326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34,524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61,856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42,832</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existing office and hosting facilities lease agreements provide us with the option to renew and generally provide for rental payments on a graduated basis. Our future operating lease obligations would change if we entered into additional operating lease agreements as we expand our operations and if we exercised the office and hosting facilities lease options. The contractual commitment amounts in the table above are associated with agreements that are enforceable and legally binding and that specify all significant terms, including fixed or minimum services to be used, fixed, minimum or variable price provisions and the approximate timing of the transaction. Obligations under contracts that we can cancel without a significant penalty are not included in the table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financial statements in conformity with GAAP requires management to make estimates and assumptions that affect the amounts reported in the consolidated financial statements and accompanying notes. 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 statements include, but are not limited to, revenue recognition, business combinations, goodwill and intangible assets and stock-based compensation.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judgments and estimates. See Note 2 to our consolidated financial statements appearing at the end of this Annual Report for a description of our other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generates revenue from contracts with clients who purchase access to the Company’s enterprise platform and software as a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provides implementation and post go-live professional services for its enterprise platform and software as a service.</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Access to the enterprise platform, includes the ability for clients to access the AMG network of medical professionals, as well as, in certain cases, support and maintenance and other professional services.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clients who purchase access to the enterprise platform, the Company hosts a dedicated instance of the enterprise platform, white-labeled under the client’s own name, branding, and with customized workflows and operating choices. Certain implementation services are required in order for the client to drive its intended benefit. These implementation services generally span several months and are not performed by another entity.</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contracts with clients using the five-step method described in Note 2 in our consolidated financial statements. At contract inception, we evaluate whether two or more contracts should be combined and accounted for as a single contract and whether the combined or single contract includes more than one performance obligation. We combine contracts entered into at or near the same time with the same client if we determine that the contracts are negotiated as a package with a single commercial objective; the amount of consideration to be paid in one contract depends on the price or performance of the other contract; or the services promised in the contracts are a single performance obligation.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general, we satisfy the majority of our performance obligations over time as we transfer the promised services to our clients. We review the contract terms and conditions to evaluate the timing and amount of revenue recognition; the related contract balances; and our remaining performance obligations. These evaluations require significant judgment around the proper identification of performance obligations, which could affect the timing and amount of revenue recognized.</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Deferred revenues consist of the unearned portion of billed fees for our enterprise platform and software as a service access fees and related services, which is subsequently recognized as revenue in accordance with our revenue recognition policy. The Company estimates the amount of revenue it expects to recognize during the twelve-month period following the financial statement date which is recorded as current deferred revenue and the remaining portion is recorded as noncurrent.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Transaction costs related to business combinations are expensed as incurred.</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Determining the fair value of assets acquired and liabilities assumed and the allocation of the purchase price requires management to use significant judgment and estimates, especially with respect to intangible assets. Critical estimates in valuing certain identifiable assets include, but are not limited to, the selection of valuation methodologies, estimates of future revenue and cash flows, expected long-term market growth, future expected operating expenses, costs of capital and appropriate discount rates. Management’s estimates of fair value are based upon assumptions believed to be reasonable, but which are inherently uncertain and unpredictable and, as a result, actual results may differ from estimates. During the measurement period, the Company may record certain adjustments to the carrying value of the assets acquired and liabilities assumed with the corresponding offset to goodwill. After the measurement period, which could last up to one year after the transaction date, all adjustments are recorded in the consolidated statements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historical acquisitions. As a result of these transactions, contractor and customer relationships, acquired technology, and trade name were identified as intangible assets, and are amortized over their estimated useful lives.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annually on November 30 or more frequently if events or changes in circumstances indicate that the carrying amount of the goodwill may not be recoverable. These events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as indicated by the Company’s publicly quoted share price, below our net book value. Our goodwill impairment tests are performed at the enterprise level given our single reporting unit.</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When there is a triggering event the Company assesses the potential impact on its goodwill, definite-lived intangibles, and other long-lived assets. To test intangible assets for impairment the Company performs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Reasonably possible changes in those assumptions could result in non-cash impairment charges in the future.</w:t>
      </w:r>
    </w:p>
    <w:p>
      <w:pPr>
        <w:spacing w:after="0" w:line="18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our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In performing the goodwill quantitative assessment we compared market capitalization adjusted for the control premium (amount paid by a new controlling shareholder for the benefits resulting from synergies and other potential benefits derived from controlling the acquired company) to carrying value of our single reporting unit. A charge is reported as impairment of goodwill 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1" w:name="page72"/>
    <w:bookmarkEnd w:id="71"/>
    <w:p>
      <w:pPr>
        <w:ind w:right="360"/>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and comprehensive loss. During the year ended December 31, 2023 the Company recorded a full impairment of goodwill as the fair value of our reporting unit did not exceed our carrying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the grant and recognize the corresponding compensation expense of those awards over the requisite service period, which is generally the vesting period of the respective award. We generally issue stock options, restricted stock units (“RSU’s”) and performance-based market condition share awards ("PSU's") to employees. Stock options and RSUs only have service-based vesting conditions and the Company records the expense for these awards using the straight-line method. PSUs have multiple tranches each with certain market capitalization or stock price milestones and service-based vesting conditions. The Company records the expense for these awards over the estimated life of each tranche</w:t>
      </w:r>
    </w:p>
    <w:p>
      <w:pPr>
        <w:spacing w:after="0" w:line="18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The assumptions and estimates are as follows:</w:t>
      </w:r>
    </w:p>
    <w:p>
      <w:pPr>
        <w:spacing w:after="0" w:line="66" w:lineRule="exact"/>
        <w:rPr>
          <w:sz w:val="20"/>
          <w:szCs w:val="20"/>
          <w:color w:val="auto"/>
        </w:rPr>
      </w:pPr>
    </w:p>
    <w:p>
      <w:pPr>
        <w:ind w:left="1020" w:hanging="503"/>
        <w:spacing w:after="0" w:line="315"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 of Class A Common Stock</w:t>
      </w:r>
      <w:r>
        <w:rPr>
          <w:rFonts w:ascii="Times New Roman" w:cs="Times New Roman" w:eastAsia="Times New Roman" w:hAnsi="Times New Roman"/>
          <w:sz w:val="17"/>
          <w:szCs w:val="17"/>
          <w:color w:val="auto"/>
        </w:rPr>
        <w:t>—Following our IPO, we rely on the closing price of our Class A common stock as reported on the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grant to determine the fair value of our Class A common stock, as shares of our Class A common stock are traded in the public market.</w:t>
      </w:r>
    </w:p>
    <w:p>
      <w:pPr>
        <w:spacing w:after="0" w:line="26" w:lineRule="exact"/>
        <w:rPr>
          <w:rFonts w:ascii="Times New Roman" w:cs="Times New Roman" w:eastAsia="Times New Roman" w:hAnsi="Times New Roman"/>
          <w:sz w:val="17"/>
          <w:szCs w:val="17"/>
          <w:color w:val="auto"/>
        </w:rPr>
      </w:pPr>
    </w:p>
    <w:p>
      <w:pPr>
        <w:ind w:left="1020" w:right="2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We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using the simplified method. The simplified method deems the term to be the average of the time-to-vesting and the contractual life of the options. For stock options granted to non-employees, the expected term equals the remaining contractual term of the option from the vesting date.</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7"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—As we have limited trading history for our common stock, the expected volatility was estimated by taking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 price volatility for industry peers, consisting of several public companies in our industry that are either similar in size, stage, or financial leverage, over a period equivalent to the expected term of the awards.</w:t>
      </w:r>
    </w:p>
    <w:p>
      <w:pPr>
        <w:spacing w:after="0" w:line="65"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calculated using the average of the published interest rates of U.S. Treasury zero-coupon issues with maturities that are commensurate with the expected term.</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dividend yield assumption is zero, as we have no history of, or plans to make, dividend payments.</w:t>
      </w:r>
    </w:p>
    <w:p>
      <w:pPr>
        <w:spacing w:after="0" w:line="22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Refer to Note 2 of our consolidated financial statements included elsewhere in this Annual Report for recently adopted accounting pronouncements and recently issued accounting pronouncements not yet adopted as of the date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totaling $372.0 million, $538.5 million, and $746.4 million as of December 31, 2023, 2022 and 2021, respectively. As of December 31, 2023, 2022 and 2021 the Company held no investments. The cash and cash equivalents are held for a variety of growth and investments as well as working capital purposes. Our investments are made for capital preservation purposes. We do not enter into investments for trading or speculative purposes. All our investments are denominated in U.S. dollars.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72" w:name="page73"/>
    <w:bookmarkEnd w:id="72"/>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an increase or decrease of 100 basis points in interest rates would have a material effect on our business, financial condition or results of operations. However, our cash equivalents are subject to market risk due to changes in interest rates. Fixed rate securities may have their market value adversely affected due to a rise in interest rates. Interest rates have risen and may continue to rise in 2024. Due in part to these factors, our future investment income may fall short of expectation due to changes in interest rates or we may suffer losses in principal if we are forced to sell securities that decline in market value due to changes in interest rates.</w:t>
      </w:r>
    </w:p>
    <w:p>
      <w:pPr>
        <w:spacing w:after="0" w:line="183" w:lineRule="exact"/>
        <w:rPr>
          <w:sz w:val="20"/>
          <w:szCs w:val="20"/>
          <w:color w:val="auto"/>
        </w:rPr>
      </w:pPr>
    </w:p>
    <w:p>
      <w:pPr>
        <w:ind w:right="400" w:firstLine="554"/>
        <w:spacing w:after="0" w:line="282" w:lineRule="auto"/>
        <w:rPr>
          <w:sz w:val="20"/>
          <w:szCs w:val="20"/>
          <w:color w:val="auto"/>
        </w:rPr>
      </w:pPr>
      <w:r>
        <w:rPr>
          <w:rFonts w:ascii="Times New Roman" w:cs="Times New Roman" w:eastAsia="Times New Roman" w:hAnsi="Times New Roman"/>
          <w:sz w:val="18"/>
          <w:szCs w:val="18"/>
          <w:color w:val="auto"/>
        </w:rPr>
        <w:t>Fluctuations in the value of our money market funds caused by a change in interest rates (gains or losses on the carrying value) are recorded in other income and are realized only if we sell the underlying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To date, a substantial majority of our revenue from client arrangements has been denominated in U.S. dollars. We have limited operations outside the United States. As of December 31, 2023 the Company has one foreign subsidiary in Israel, the functional currency of that subsidiary is the U.S. dollar. In addition the Company has three foreign subsidiaries from the acquisition of SilverCloud, with functional currencies of the Euro, British pound and Australian dollars. The Company also has a branch with a functional currency of the New Israeli Shekel. The transactional activity for these entities in the years ended December 31, 2022 and 2023 was not considered significant. In December 2023 the Company established a foreign subsidiary in Columbia, however there were no operations in this entity for the year ended December 31, 2023. Accordingly, we believe we do not have a material exposure to foreign currency risk. As our international operations expand, it will increase our exposure to foreign currency exchange risk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in the last two years. However, the U.S. economy has experienced and is continuing to experience high rates of inflation, and such inflation risk may continue in 2024.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which financial statements are incorporated by reference in response to this Item 8. An index of those financial statements is found in “Item 15. Exhibits and Financial Statement Schedules”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9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officers and principal financial officer, evaluated the effectiveness of our disclosure controls and procedures (as defined in Rules 13a-15(e) and 15d-15(e) under the Exchange Act) as of December 31, 2023. Disclosure controls and procedures refer to controls and other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officers and principal financial officer, as appropriate, to allow timely decisions regarding required financial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Based on this evaluation, our principal executive officers and principal financial officer concluded that, as of December 31, 2023, our disclosure controls and procedures were effective at a reasonable assurance level.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9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140" w:firstLine="499"/>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officers and principal financial officer, we conducted an evaluation of the effectiveness of our internal control over financial reporting as of December 31, 2023,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2023.</w:t>
      </w:r>
    </w:p>
    <w:p>
      <w:pPr>
        <w:spacing w:after="0" w:line="180" w:lineRule="exact"/>
        <w:rPr>
          <w:sz w:val="20"/>
          <w:szCs w:val="20"/>
          <w:color w:val="auto"/>
        </w:rPr>
      </w:pPr>
    </w:p>
    <w:p>
      <w:pPr>
        <w:ind w:right="340" w:firstLine="49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is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2023 that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certain of our officers and directors adopted or terminated Rule 10b5-1 trading arrangements as follows:</w:t>
      </w:r>
    </w:p>
    <w:p>
      <w:pPr>
        <w:spacing w:after="0" w:line="54" w:lineRule="exact"/>
        <w:rPr>
          <w:sz w:val="20"/>
          <w:szCs w:val="20"/>
          <w:color w:val="auto"/>
        </w:rPr>
      </w:pPr>
    </w:p>
    <w:p>
      <w:pPr>
        <w:ind w:left="1020" w:hanging="503"/>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Ido Schoenberg, our Chairman and co-Chief Executive Officer, terminated a trading arrangement that was intended to satisfy the conditions under Rule 10b5-1(c) of the Exchange Act. The trading arrangement involved selling shares of our common stock through automatic "sell to cover" transactions in order to pay the tax liabilities arising from the vesting and settlement of restricted stock units and performance share units. The trading arrangement did not specify a maximum number of shares to be sold and was for an indefinite period of time.</w:t>
      </w:r>
    </w:p>
    <w:p>
      <w:pPr>
        <w:spacing w:after="0" w:line="75"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Roy Schoenberg, our President and co-Chief Executive Officer, terminated a trading arrangement that was intended to satisfy the conditions under Rule 10b5-1(c) of the Exchange Act. The trading arrangement involved selling shares of our common stock through automatic “sell to cover” transactions in order to pay the tax liabilities arising from the vesting and settlement of restricted stock units and performance share units. The trading arrangement did not specify a maximum number of shares to be sold and was for an indefinite period of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Cancellation of PSU Awards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13, 2024, each of the Company’s named executive officers (“NEOs”), other than Drs. Ido and Roy Schoenberg, agreed to the cancellation of his or her outstanding performance stock units that were granted by the Company to the NEOs in March 2022 (for all of the NEOs other than Mr. Paunovich) and in July 2022 for Mr. Paunovich and were subject to the achievement of specified market capitalization thresholds over a three-year performance period (the “2022 PSUs”). Upon the cancellation of the 2022 PSUs, each NEO is expected to receive a grant of restricted stock units (“RSUs”) under the Company’s 2020 Equity Incentive Plan as part of its 2024 long-term equity incentive compensation program (the “2024 RSUs”). The value of the 2024 RSUs to be granted to each NEO was determined by the Compensation Committee of the Board of Directors, with the assistance of its independent compensation consultant, Aon Radford, for purposes of aligning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ind w:right="80"/>
        <w:spacing w:after="0" w:line="258" w:lineRule="auto"/>
        <w:rPr>
          <w:sz w:val="20"/>
          <w:szCs w:val="20"/>
          <w:color w:val="auto"/>
        </w:rPr>
      </w:pPr>
      <w:r>
        <w:rPr>
          <w:rFonts w:ascii="Times New Roman" w:cs="Times New Roman" w:eastAsia="Times New Roman" w:hAnsi="Times New Roman"/>
          <w:sz w:val="18"/>
          <w:szCs w:val="18"/>
          <w:color w:val="auto"/>
        </w:rPr>
        <w:t>the NEO’s long-term equity incentive compensation such that it is at or above the 50th percentile of the Company’s peer group for such role. The 2024 RSUs will have terms substantially similar to RSUs granted under the Company’s historical RSU grant practices, except that the 2024 RSUs will be vested with respect to 25% of the shares of Class A common stock underlying the award on the grant date and will vest with respect to the remaining 75% of the shares in equal quarterly installments over three years from the grant date, subject in each case to the NEO’s continued employment with the Company through each applicable vesting date.</w:t>
      </w:r>
    </w:p>
    <w:p>
      <w:pPr>
        <w:spacing w:after="0" w:line="183" w:lineRule="exact"/>
        <w:rPr>
          <w:sz w:val="20"/>
          <w:szCs w:val="20"/>
          <w:color w:val="auto"/>
        </w:rPr>
      </w:pPr>
    </w:p>
    <w:p>
      <w:pPr>
        <w:ind w:right="20" w:firstLine="499"/>
        <w:spacing w:after="0" w:line="254" w:lineRule="auto"/>
        <w:rPr>
          <w:sz w:val="20"/>
          <w:szCs w:val="20"/>
          <w:color w:val="auto"/>
        </w:rPr>
      </w:pPr>
      <w:r>
        <w:rPr>
          <w:rFonts w:ascii="Times New Roman" w:cs="Times New Roman" w:eastAsia="Times New Roman" w:hAnsi="Times New Roman"/>
          <w:sz w:val="18"/>
          <w:szCs w:val="18"/>
          <w:color w:val="auto"/>
        </w:rPr>
        <w:t>The Company believes that the cancellation of the 2022 PSUs is appropriate and in its best interests. Outstanding, issued performance-based awards are counted against the Company’s equity plan reserve based on the maximum achievement levels of the performance goals. As such, cancelling the 2022 PSUs enables the Company to reutilize its share capacity to provide meaningful incentives in order to retain key employees. This reutilization allows the Company to avoid soliciting approval to increase the shares available under its equity plan, minimizing the dilutive impact on shareholders. In addition, the Company has determined that the 2022 PSUs lacked meaningful retentive and incentive value for the NEOs. The Company believes that the 2024 RSUs will be significantly more effective retentive vehicles and will promote leadership stability for the Company and the continued commitment of the key executives who are critical to the Company’s success. The Company would like to note that the NEOs are still party to other performance-based awards with the Company and the Company anticipates issuing additional performance-based awards in future years.</w:t>
      </w:r>
    </w:p>
    <w:p>
      <w:pPr>
        <w:spacing w:after="0" w:line="192"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2022 PSUs that will be cancelled for each NEO and the grant date value of the 2024 RSUs expected to be granted to each NEO.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2022 PSUs Cancelled</w:t>
            </w:r>
          </w:p>
        </w:tc>
        <w:tc>
          <w:tcPr>
            <w:tcW w:w="280" w:type="dxa"/>
            <w:vAlign w:val="bottom"/>
          </w:tcPr>
          <w:p>
            <w:pPr>
              <w:spacing w:after="0"/>
              <w:rPr>
                <w:sz w:val="13"/>
                <w:szCs w:val="13"/>
                <w:color w:val="auto"/>
              </w:rPr>
            </w:pPr>
          </w:p>
        </w:tc>
        <w:tc>
          <w:tcPr>
            <w:tcW w:w="20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2022 PSUs</w:t>
            </w:r>
          </w:p>
        </w:tc>
        <w:tc>
          <w:tcPr>
            <w:tcW w:w="300" w:type="dxa"/>
            <w:vAlign w:val="bottom"/>
          </w:tcPr>
          <w:p>
            <w:pPr>
              <w:spacing w:after="0"/>
              <w:rPr>
                <w:sz w:val="13"/>
                <w:szCs w:val="13"/>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2024 RSUs Granted</w:t>
            </w:r>
          </w:p>
        </w:tc>
      </w:tr>
      <w:tr>
        <w:trPr>
          <w:trHeight w:val="187"/>
        </w:trPr>
        <w:tc>
          <w:tcPr>
            <w:tcW w:w="47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80" w:type="dxa"/>
            <w:vAlign w:val="bottom"/>
          </w:tcPr>
          <w:p>
            <w:pPr>
              <w:spacing w:after="0"/>
              <w:rPr>
                <w:sz w:val="16"/>
                <w:szCs w:val="16"/>
                <w:color w:val="auto"/>
              </w:rPr>
            </w:pPr>
          </w:p>
        </w:tc>
        <w:tc>
          <w:tcPr>
            <w:tcW w:w="2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Cancelled (Maximum)</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Phyllis Gotlib</w:t>
            </w:r>
          </w:p>
        </w:tc>
        <w:tc>
          <w:tcPr>
            <w:tcW w:w="2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International</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488,099</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1,464,297</w:t>
            </w:r>
          </w:p>
        </w:tc>
        <w:tc>
          <w:tcPr>
            <w:tcW w:w="7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FF0FC"/>
          </w:tcPr>
          <w:p>
            <w:pPr>
              <w:spacing w:after="0"/>
              <w:rPr>
                <w:sz w:val="21"/>
                <w:szCs w:val="2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Shepardson</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488,099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1,464,297</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1"/>
                <w:szCs w:val="2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Kurt Knight</w:t>
            </w:r>
          </w:p>
        </w:tc>
        <w:tc>
          <w:tcPr>
            <w:tcW w:w="2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488,099</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1,464,297</w:t>
            </w:r>
          </w:p>
        </w:tc>
        <w:tc>
          <w:tcPr>
            <w:tcW w:w="7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FF0FC"/>
          </w:tcPr>
          <w:p>
            <w:pPr>
              <w:spacing w:after="0"/>
              <w:rPr>
                <w:sz w:val="21"/>
                <w:szCs w:val="2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Vukasin (Vaughn) Paunovich</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Enterprise Platforms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563,266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1,689,798</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0"/>
                <w:szCs w:val="20"/>
                <w:color w:val="auto"/>
              </w:rPr>
            </w:pPr>
          </w:p>
        </w:tc>
      </w:tr>
    </w:tbl>
    <w:p>
      <w:pPr>
        <w:spacing w:after="0" w:line="211" w:lineRule="exact"/>
        <w:rPr>
          <w:sz w:val="20"/>
          <w:szCs w:val="20"/>
          <w:color w:val="auto"/>
        </w:rPr>
      </w:pPr>
    </w:p>
    <w:p>
      <w:pPr>
        <w:ind w:right="440" w:firstLine="507"/>
        <w:spacing w:after="0" w:line="282" w:lineRule="auto"/>
        <w:tabs>
          <w:tab w:leader="none" w:pos="6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underlying each RSU grant will be determined by dividing the value indicated by the 30 day volume weighted average price per share as of (and including) the grant date.</w:t>
      </w:r>
    </w:p>
    <w:p>
      <w:pPr>
        <w:spacing w:after="0" w:line="162" w:lineRule="exact"/>
        <w:rPr>
          <w:sz w:val="20"/>
          <w:szCs w:val="20"/>
          <w:color w:val="auto"/>
        </w:rPr>
      </w:pPr>
    </w:p>
    <w:p>
      <w:pPr>
        <w:ind w:right="260" w:firstLine="49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2022 PSU cancellations and 2024 RSU grants is qualified in its entirety by reference to the full text of the award agreement governing the 2024 RSUs, a copy of which is filed as an exhibit to this Annual Report on Form 10-K and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16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089" w:right="85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1020" w:right="10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a list of the financial statements included herein, see Index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F-1 of this Annual Report on Form 10-K, incorporated into this Item by reference.</w:t>
      </w:r>
    </w:p>
    <w:p>
      <w:pPr>
        <w:spacing w:after="0" w:line="158"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 Schedules. </w:t>
      </w:r>
      <w:r>
        <w:rPr>
          <w:rFonts w:ascii="Times New Roman" w:cs="Times New Roman" w:eastAsia="Times New Roman" w:hAnsi="Times New Roman"/>
          <w:sz w:val="18"/>
          <w:szCs w:val="18"/>
          <w:color w:val="auto"/>
        </w:rPr>
        <w:t>Financial statement schedules have been omitted because they are either not required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the information is included in the consolidated financial statements or the notes thereto.</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listed below are filed or incorporated by reference as part of this Annual Report on Form 10-K.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31"/>
        </w:trPr>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24"/>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ind w:right="452"/>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Borders>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Amended and Restated Certificate of Incorporation</w:t>
              </w:r>
            </w:hyperlink>
          </w:p>
        </w:tc>
        <w:tc>
          <w:tcPr>
            <w:tcW w:w="1680" w:type="dxa"/>
            <w:vAlign w:val="bottom"/>
            <w:gridSpan w:val="13"/>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15"/>
                <w:szCs w:val="15"/>
                <w:color w:val="auto"/>
              </w:rPr>
            </w:pPr>
          </w:p>
        </w:tc>
        <w:tc>
          <w:tcPr>
            <w:tcW w:w="1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333-248309</w:t>
            </w:r>
          </w:p>
        </w:tc>
        <w:tc>
          <w:tcPr>
            <w:tcW w:w="120" w:type="dxa"/>
            <w:vAlign w:val="bottom"/>
          </w:tcPr>
          <w:p>
            <w:pPr>
              <w:spacing w:after="0"/>
              <w:rPr>
                <w:sz w:val="15"/>
                <w:szCs w:val="15"/>
                <w:color w:val="auto"/>
              </w:rPr>
            </w:pPr>
          </w:p>
        </w:tc>
        <w:tc>
          <w:tcPr>
            <w:tcW w:w="6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6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72"/>
        </w:trPr>
        <w:tc>
          <w:tcPr>
            <w:tcW w:w="10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By-Laws</w:t>
              </w:r>
            </w:hyperlink>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Common Stock Certificate</w:t>
              </w:r>
            </w:hyperlink>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Amended and Restated Investors’ Rights Agreement, dated</w:t>
              </w:r>
            </w:hyperlink>
          </w:p>
        </w:tc>
        <w:tc>
          <w:tcPr>
            <w:tcW w:w="48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October 8, 2010</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1 to Second Amended and Restated Investors’ Rights</w:t>
              </w:r>
            </w:hyperlink>
          </w:p>
        </w:tc>
        <w:tc>
          <w:tcPr>
            <w:tcW w:w="2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Agreement, dated November 1, 2016</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2 to Second Amended and Restated Investors’ Rights</w:t>
              </w:r>
            </w:hyperlink>
          </w:p>
        </w:tc>
        <w:tc>
          <w:tcPr>
            <w:tcW w:w="2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Agreement, dated May 29, 2018</w:t>
              </w:r>
            </w:hyperlink>
          </w:p>
        </w:tc>
        <w:tc>
          <w:tcPr>
            <w:tcW w:w="20" w:type="dxa"/>
            <w:vAlign w:val="bottom"/>
            <w:tcBorders>
              <w:bottom w:val="single" w:sz="8" w:color="0000EE"/>
            </w:tcBorders>
          </w:tcPr>
          <w:p>
            <w:pPr>
              <w:spacing w:after="0"/>
              <w:rPr>
                <w:sz w:val="17"/>
                <w:szCs w:val="17"/>
                <w:color w:val="auto"/>
              </w:rPr>
            </w:pPr>
          </w:p>
        </w:tc>
        <w:tc>
          <w:tcPr>
            <w:tcW w:w="30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3 to Second Amended and Restated Investors’ Rights</w:t>
              </w:r>
            </w:hyperlink>
          </w:p>
        </w:tc>
        <w:tc>
          <w:tcPr>
            <w:tcW w:w="2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Agreement, dated September 5, 2019</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5 and Joinder to Second Amended and Restated</w:t>
              </w:r>
            </w:hyperlink>
          </w:p>
        </w:tc>
        <w:tc>
          <w:tcPr>
            <w:tcW w:w="6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Investors’ Rights Agreement, dated September 21, 2020</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September 22,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Description of Securities Registered Pursuant to Section 12 of the</w:t>
              </w:r>
            </w:hyperlink>
          </w:p>
        </w:tc>
        <w:tc>
          <w:tcPr>
            <w:tcW w:w="60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Securities Exchange Act of 1934</w:t>
              </w:r>
            </w:hyperlink>
          </w:p>
        </w:tc>
        <w:tc>
          <w:tcPr>
            <w:tcW w:w="20" w:type="dxa"/>
            <w:vAlign w:val="bottom"/>
            <w:tcBorders>
              <w:bottom w:val="single" w:sz="8" w:color="0000EE"/>
            </w:tcBorders>
          </w:tcPr>
          <w:p>
            <w:pPr>
              <w:spacing w:after="0"/>
              <w:rPr>
                <w:sz w:val="17"/>
                <w:szCs w:val="17"/>
                <w:color w:val="auto"/>
              </w:rPr>
            </w:pPr>
          </w:p>
        </w:tc>
        <w:tc>
          <w:tcPr>
            <w:tcW w:w="29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2006 Employee, Director and Consultant Stock</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Pan, as amended</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2020 Equity Incentive Plan</w:t>
              </w:r>
            </w:hyperlink>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Master Services Agreement, dated January 1, 2023, by and among</w:t>
              </w:r>
            </w:hyperlink>
          </w:p>
        </w:tc>
        <w:tc>
          <w:tcPr>
            <w:tcW w:w="5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American Well Corporation and Elevance Health, Inc.</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Statement of Work, dated as of November 28, 2022, by and between</w:t>
              </w:r>
            </w:hyperlink>
          </w:p>
        </w:tc>
        <w:tc>
          <w:tcPr>
            <w:tcW w:w="4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American Well Corporation and Elevance Health, Inc.</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33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Provider Agreement, dated as of November 28, 2022, by and between</w:t>
              </w:r>
            </w:hyperlink>
          </w:p>
        </w:tc>
        <w:tc>
          <w:tcPr>
            <w:tcW w:w="3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Blue Cross of California doing business as Anthem Blue Cross and Online</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4"/>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Care Group, P.C.</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left w:val="single" w:sz="8" w:color="0000EE"/>
            </w:tcBorders>
            <w:gridSpan w:val="7"/>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Provider Agreement, dated as of November 28, 2022, by and among</w:t>
              </w:r>
            </w:hyperlink>
          </w:p>
        </w:tc>
        <w:tc>
          <w:tcPr>
            <w:tcW w:w="4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Rocky Mountain Hospital and Medical Service, Inc., doing business as</w:t>
              </w:r>
            </w:hyperlink>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Anthem Blue Cross and Blue Shield</w:t>
              </w:r>
            </w:hyperlink>
          </w:p>
        </w:tc>
        <w:tc>
          <w:tcPr>
            <w:tcW w:w="27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466"/>
        </w:trPr>
        <w:tc>
          <w:tcPr>
            <w:tcW w:w="1000" w:type="dxa"/>
            <w:vAlign w:val="bottom"/>
          </w:tcPr>
          <w:p>
            <w:pPr>
              <w:spacing w:after="0"/>
              <w:rPr>
                <w:sz w:val="24"/>
                <w:szCs w:val="24"/>
                <w:color w:val="auto"/>
              </w:rPr>
            </w:pPr>
          </w:p>
        </w:tc>
        <w:tc>
          <w:tcPr>
            <w:tcW w:w="4880" w:type="dxa"/>
            <w:vAlign w:val="bottom"/>
            <w:gridSpan w:val="16"/>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0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HMO Colorado, Inc. doing business as HMO Colorado, Anthem</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Health Plans, Inc. doing business as Anthem Blue Cross and Blue Shield,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Anthem Insurance Companies, Inc. and Blue Cross Blue Shield</w:t>
              </w:r>
            </w:hyperlink>
          </w:p>
        </w:tc>
        <w:tc>
          <w:tcPr>
            <w:tcW w:w="7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Healthcare Plan of Georgia, Inc. d/b/a Anthem Blue Cross and Blue</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Shield, Anthem Insurance Companies, Inc. doing business as Anthem</w:t>
              </w:r>
            </w:hyperlink>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Blue Cross and Blue Shield, Anthem Health Plans of Kentucky, Inc. d/b/a</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Anthem Blue Cross and Blue Shield, Anthem Health Plans of Maine, Inc.</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doing business as Anthem Blue Cross and Blue Shield, RightCHOICE</w:t>
              </w:r>
            </w:hyperlink>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Managed Care, Inc., Anthem Health Plans of New Hampshire, Inc. doing</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business as Anthem Blue Cross and Blue Shield and Matthew Thornton</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Health Plan, Inc., Rocky Mountain Hospital and Medical Service, Inc.</w:t>
              </w:r>
            </w:hyperlink>
          </w:p>
        </w:tc>
        <w:tc>
          <w:tcPr>
            <w:tcW w:w="2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7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doing business as Anthem Blue Cross and Blue Shield and HMO</w:t>
              </w:r>
            </w:hyperlink>
          </w:p>
        </w:tc>
        <w:tc>
          <w:tcPr>
            <w:tcW w:w="6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Colorado, Inc. doing business as HMO Nevada, Empire Health Choice</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HMO, Inc. (d/b/a Empire BlueCross BlueShield HMO or Empire Blue</w:t>
              </w:r>
            </w:hyperlink>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Cross HMO) and Empire Health Choice Assurance, Inc. (d/b/a Empire</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BlueCross BlueShield or Empire Blue Cross), Community Insurance</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Company doing business as Anthem Blue Cross and Blue Shield, Anthem</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Health Plans of Virginia, Inc. doing business as Anthem Blue Cross and</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Blue Shield, Blue Cross Blue Shield of Wisconsin doing business as</w:t>
              </w:r>
            </w:hyperlink>
          </w:p>
        </w:tc>
        <w:tc>
          <w:tcPr>
            <w:tcW w:w="4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60" w:type="dxa"/>
            <w:vAlign w:val="bottom"/>
            <w:gridSpan w:val="3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Anthem Blue Cross and Blue Shield and Online Care Group, P.C.</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20" w:type="dxa"/>
            <w:vAlign w:val="bottom"/>
          </w:tcPr>
          <w:p>
            <w:pPr>
              <w:spacing w:after="0"/>
              <w:rPr>
                <w:sz w:val="24"/>
                <w:szCs w:val="24"/>
                <w:color w:val="auto"/>
              </w:rPr>
            </w:pPr>
          </w:p>
        </w:tc>
        <w:tc>
          <w:tcPr>
            <w:tcW w:w="4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Joint Venture Formation and Limited Liability Company Investment</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Agreement National Telehealth Network, LLC, dated December 20, 2012,</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0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between SellCore, Inc. and American Well Corporation</w:t>
              </w:r>
            </w:hyperlink>
          </w:p>
        </w:tc>
        <w:tc>
          <w:tcPr>
            <w:tcW w:w="136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52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Amendment No. 1 to the Joint Venture Formation and Limited Liability</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Company Investment Agreement National Telehealth Network, LLC,</w:t>
              </w:r>
            </w:hyperlink>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8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dated January 1, 2016, between SellCore, Inc. and American Well</w:t>
              </w:r>
            </w:hyperlink>
          </w:p>
        </w:tc>
        <w:tc>
          <w:tcPr>
            <w:tcW w:w="5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Corporation</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3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Indemnification Agreement</w:t>
              </w:r>
            </w:hyperlink>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between American Well Corporation and Ido</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3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Schoenberg, dated June 18, 2020</w:t>
              </w:r>
            </w:hyperlink>
          </w:p>
        </w:tc>
        <w:tc>
          <w:tcPr>
            <w:tcW w:w="20" w:type="dxa"/>
            <w:vAlign w:val="bottom"/>
            <w:tcBorders>
              <w:bottom w:val="single" w:sz="8" w:color="0000EE"/>
            </w:tcBorders>
          </w:tcPr>
          <w:p>
            <w:pPr>
              <w:spacing w:after="0"/>
              <w:rPr>
                <w:sz w:val="17"/>
                <w:szCs w:val="17"/>
                <w:color w:val="auto"/>
              </w:rPr>
            </w:pPr>
          </w:p>
        </w:tc>
        <w:tc>
          <w:tcPr>
            <w:tcW w:w="29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5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between American Well Corporation and Roy</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3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Schoenberg, dated June 18, 2020</w:t>
              </w:r>
            </w:hyperlink>
          </w:p>
        </w:tc>
        <w:tc>
          <w:tcPr>
            <w:tcW w:w="20" w:type="dxa"/>
            <w:vAlign w:val="bottom"/>
            <w:tcBorders>
              <w:bottom w:val="single" w:sz="8" w:color="0000EE"/>
            </w:tcBorders>
          </w:tcPr>
          <w:p>
            <w:pPr>
              <w:spacing w:after="0"/>
              <w:rPr>
                <w:sz w:val="17"/>
                <w:szCs w:val="17"/>
                <w:color w:val="auto"/>
              </w:rPr>
            </w:pPr>
          </w:p>
        </w:tc>
        <w:tc>
          <w:tcPr>
            <w:tcW w:w="29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48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to the MSA Agreement, dated October 20, 2023,</w:t>
              </w:r>
            </w:hyperlink>
          </w:p>
        </w:tc>
        <w:tc>
          <w:tcPr>
            <w:tcW w:w="4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360" w:type="dxa"/>
            <w:vAlign w:val="bottom"/>
            <w:gridSpan w:val="31"/>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between Elevance Health, Inc and American Well Corporation</w:t>
              </w:r>
            </w:hyperlink>
          </w:p>
        </w:tc>
        <w:tc>
          <w:tcPr>
            <w:tcW w:w="20" w:type="dxa"/>
            <w:vAlign w:val="bottom"/>
          </w:tcPr>
          <w:p>
            <w:pPr>
              <w:spacing w:after="0"/>
              <w:rPr>
                <w:sz w:val="17"/>
                <w:szCs w:val="17"/>
                <w:color w:val="auto"/>
              </w:rPr>
            </w:pP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6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2020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820" w:type="dxa"/>
            <w:vAlign w:val="bottom"/>
            <w:tcBorders>
              <w:top w:val="single" w:sz="8" w:color="0000FF"/>
            </w:tcBorders>
            <w:gridSpan w:val="5"/>
          </w:tcPr>
          <w:p>
            <w:pPr>
              <w:spacing w:after="0"/>
              <w:rPr>
                <w:sz w:val="24"/>
                <w:szCs w:val="24"/>
                <w:color w:val="auto"/>
              </w:rPr>
            </w:pPr>
          </w:p>
        </w:tc>
        <w:tc>
          <w:tcPr>
            <w:tcW w:w="86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120" w:type="dxa"/>
            <w:vAlign w:val="bottom"/>
          </w:tcPr>
          <w:p>
            <w:pPr>
              <w:spacing w:after="0"/>
              <w:rPr>
                <w:sz w:val="24"/>
                <w:szCs w:val="24"/>
                <w:color w:val="auto"/>
              </w:rPr>
            </w:pPr>
          </w:p>
        </w:tc>
        <w:tc>
          <w:tcPr>
            <w:tcW w:w="5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Restricted Stock Unit Agreement between American Well Corporation</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5360" w:type="dxa"/>
            <w:vAlign w:val="bottom"/>
            <w:gridSpan w:val="31"/>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and Ido Schoenberg, dated June 18, 2020</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72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Restricted Stock Unit Agreement between American Well Corporation</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5360" w:type="dxa"/>
            <w:vAlign w:val="bottom"/>
            <w:gridSpan w:val="31"/>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Roy Schoenberg, dated June 18, 2020</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720" w:type="dxa"/>
            <w:vAlign w:val="bottom"/>
            <w:gridSpan w:val="8"/>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Business Support Agreement, dated February 25, 2013, by and among</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National Telehealth Network, LLC and Online Care Network P.C. and, as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5360" w:type="dxa"/>
            <w:vAlign w:val="bottom"/>
            <w:gridSpan w:val="31"/>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to certain sections, Peter Antall, M.D.</w:t>
              </w:r>
            </w:hyperlink>
          </w:p>
        </w:tc>
        <w:tc>
          <w:tcPr>
            <w:tcW w:w="20" w:type="dxa"/>
            <w:vAlign w:val="bottom"/>
          </w:tcPr>
          <w:p>
            <w:pPr>
              <w:spacing w:after="0"/>
              <w:rPr>
                <w:sz w:val="17"/>
                <w:szCs w:val="17"/>
                <w:color w:val="auto"/>
              </w:rPr>
            </w:pPr>
          </w:p>
        </w:tc>
      </w:tr>
      <w:tr>
        <w:trPr>
          <w:trHeight w:val="614"/>
        </w:trPr>
        <w:tc>
          <w:tcPr>
            <w:tcW w:w="1120" w:type="dxa"/>
            <w:vAlign w:val="bottom"/>
          </w:tcPr>
          <w:p>
            <w:pPr>
              <w:spacing w:after="0"/>
              <w:rPr>
                <w:sz w:val="24"/>
                <w:szCs w:val="24"/>
                <w:color w:val="auto"/>
              </w:rPr>
            </w:pPr>
          </w:p>
        </w:tc>
        <w:tc>
          <w:tcPr>
            <w:tcW w:w="2720" w:type="dxa"/>
            <w:vAlign w:val="bottom"/>
            <w:tcBorders>
              <w:top w:val="single" w:sz="8" w:color="0000FF"/>
            </w:tcBorders>
            <w:gridSpan w:val="8"/>
          </w:tcPr>
          <w:p>
            <w:pPr>
              <w:spacing w:after="0"/>
              <w:rPr>
                <w:sz w:val="24"/>
                <w:szCs w:val="24"/>
                <w:color w:val="auto"/>
              </w:rPr>
            </w:pPr>
          </w:p>
        </w:tc>
        <w:tc>
          <w:tcPr>
            <w:tcW w:w="1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-4465320</wp:posOffset>
            </wp:positionV>
            <wp:extent cx="28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102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10.21</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November 1, 2023</w:t>
            </w: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10.23</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10.24</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10.25</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81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10.26</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bl>
    <w:p>
      <w:pPr>
        <w:sectPr>
          <w:pgSz w:w="11900" w:h="16838" w:orient="portrait"/>
          <w:cols w:equalWidth="0" w:num="2">
            <w:col w:w="6500" w:space="140"/>
            <w:col w:w="4340"/>
          </w:cols>
          <w:pgMar w:left="340" w:top="1080" w:right="57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2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6 to the Business Support Agreement, dated August 1,</w:t>
              </w:r>
            </w:hyperlink>
          </w:p>
        </w:tc>
        <w:tc>
          <w:tcPr>
            <w:tcW w:w="1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2017, by and among National Telehealth Network, LLC and Online Care</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Network P.C.</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3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Business Support Subcontractor Services Agreement, dated February 25,</w:t>
              </w:r>
            </w:hyperlink>
          </w:p>
        </w:tc>
        <w:tc>
          <w:tcPr>
            <w:tcW w:w="8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2013, by and among National Telehealth Network, LLC and American</w:t>
              </w:r>
            </w:hyperlink>
          </w:p>
        </w:tc>
        <w:tc>
          <w:tcPr>
            <w:tcW w:w="2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Well Corporation</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35"/>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58"/>
        </w:trPr>
        <w:tc>
          <w:tcPr>
            <w:tcW w:w="1120" w:type="dxa"/>
            <w:vAlign w:val="bottom"/>
          </w:tcPr>
          <w:p>
            <w:pPr>
              <w:spacing w:after="0"/>
              <w:rPr>
                <w:sz w:val="24"/>
                <w:szCs w:val="24"/>
                <w:color w:val="auto"/>
              </w:rPr>
            </w:pPr>
          </w:p>
        </w:tc>
        <w:tc>
          <w:tcPr>
            <w:tcW w:w="48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4 to the Business Support Subcontractor Services</w:t>
              </w:r>
            </w:hyperlink>
          </w:p>
        </w:tc>
        <w:tc>
          <w:tcPr>
            <w:tcW w:w="52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Agreement, dated August 1, 2017, by and among National Telehealth</w:t>
              </w:r>
            </w:hyperlink>
          </w:p>
        </w:tc>
        <w:tc>
          <w:tcPr>
            <w:tcW w:w="3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4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Network, LLC and American Well Corporation</w:t>
              </w:r>
            </w:hyperlink>
          </w:p>
        </w:tc>
        <w:tc>
          <w:tcPr>
            <w:tcW w:w="1960" w:type="dxa"/>
            <w:vAlign w:val="bottom"/>
            <w:gridSpan w:val="20"/>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Notice of Restricted Stock Unit Agreement</w:t>
            </w:r>
          </w:p>
        </w:tc>
        <w:tc>
          <w:tcPr>
            <w:tcW w:w="20" w:type="dxa"/>
            <w:vAlign w:val="bottom"/>
            <w:tcBorders>
              <w:bottom w:val="single" w:sz="8" w:color="0000EE"/>
            </w:tcBorders>
          </w:tcPr>
          <w:p>
            <w:pPr>
              <w:spacing w:after="0"/>
              <w:rPr>
                <w:sz w:val="24"/>
                <w:szCs w:val="24"/>
                <w:color w:val="auto"/>
              </w:rPr>
            </w:pPr>
          </w:p>
        </w:tc>
        <w:tc>
          <w:tcPr>
            <w:tcW w:w="2240" w:type="dxa"/>
            <w:vAlign w:val="bottom"/>
            <w:gridSpan w:val="23"/>
          </w:tcPr>
          <w:p>
            <w:pPr>
              <w:spacing w:after="0"/>
              <w:rPr>
                <w:sz w:val="24"/>
                <w:szCs w:val="24"/>
                <w:color w:val="auto"/>
              </w:rPr>
            </w:pPr>
          </w:p>
        </w:tc>
        <w:tc>
          <w:tcPr>
            <w:tcW w:w="520" w:type="dxa"/>
            <w:vAlign w:val="bottom"/>
          </w:tcPr>
          <w:p>
            <w:pPr>
              <w:spacing w:after="0"/>
              <w:rPr>
                <w:sz w:val="24"/>
                <w:szCs w:val="24"/>
                <w:color w:val="auto"/>
              </w:rPr>
            </w:pPr>
          </w:p>
        </w:tc>
      </w:tr>
      <w:tr>
        <w:trPr>
          <w:trHeight w:val="358"/>
        </w:trPr>
        <w:tc>
          <w:tcPr>
            <w:tcW w:w="1120" w:type="dxa"/>
            <w:vAlign w:val="bottom"/>
          </w:tcPr>
          <w:p>
            <w:pPr>
              <w:spacing w:after="0"/>
              <w:rPr>
                <w:sz w:val="24"/>
                <w:szCs w:val="24"/>
                <w:color w:val="auto"/>
              </w:rPr>
            </w:pPr>
          </w:p>
        </w:tc>
        <w:tc>
          <w:tcPr>
            <w:tcW w:w="52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between American Well Corporation and Kurt</w:t>
              </w:r>
            </w:hyperlink>
          </w:p>
        </w:tc>
        <w:tc>
          <w:tcPr>
            <w:tcW w:w="180" w:type="dxa"/>
            <w:vAlign w:val="bottom"/>
            <w:gridSpan w:val="5"/>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Knight, dated August 26, 2020</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Notice of Restricted Stock Unit Agreement and PSU Forfeiture</w:t>
            </w:r>
          </w:p>
        </w:tc>
        <w:tc>
          <w:tcPr>
            <w:tcW w:w="20" w:type="dxa"/>
            <w:vAlign w:val="bottom"/>
            <w:tcBorders>
              <w:bottom w:val="single" w:sz="8" w:color="0000EE"/>
            </w:tcBorders>
          </w:tcPr>
          <w:p>
            <w:pPr>
              <w:spacing w:after="0"/>
              <w:rPr>
                <w:sz w:val="24"/>
                <w:szCs w:val="24"/>
                <w:color w:val="auto"/>
              </w:rPr>
            </w:pPr>
          </w:p>
        </w:tc>
        <w:tc>
          <w:tcPr>
            <w:tcW w:w="80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r>
      <w:tr>
        <w:trPr>
          <w:trHeight w:val="358"/>
        </w:trPr>
        <w:tc>
          <w:tcPr>
            <w:tcW w:w="1120" w:type="dxa"/>
            <w:vAlign w:val="bottom"/>
          </w:tcPr>
          <w:p>
            <w:pPr>
              <w:spacing w:after="0"/>
              <w:rPr>
                <w:sz w:val="24"/>
                <w:szCs w:val="24"/>
                <w:color w:val="auto"/>
              </w:rPr>
            </w:pPr>
          </w:p>
        </w:tc>
        <w:tc>
          <w:tcPr>
            <w:tcW w:w="538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between American Well Corporation and Phyllis</w:t>
              </w:r>
            </w:hyperlink>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21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Gotlib, dated January 1, 2018</w:t>
              </w:r>
            </w:hyperlink>
          </w:p>
        </w:tc>
        <w:tc>
          <w:tcPr>
            <w:tcW w:w="100" w:type="dxa"/>
            <w:vAlign w:val="bottom"/>
            <w:tcBorders>
              <w:bottom w:val="single" w:sz="8" w:color="0000EE"/>
            </w:tcBorders>
          </w:tcPr>
          <w:p>
            <w:pPr>
              <w:spacing w:after="0"/>
              <w:rPr>
                <w:sz w:val="17"/>
                <w:szCs w:val="17"/>
                <w:color w:val="auto"/>
              </w:rPr>
            </w:pPr>
          </w:p>
        </w:tc>
        <w:tc>
          <w:tcPr>
            <w:tcW w:w="3140" w:type="dxa"/>
            <w:vAlign w:val="bottom"/>
            <w:gridSpan w:val="31"/>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58"/>
        </w:trPr>
        <w:tc>
          <w:tcPr>
            <w:tcW w:w="1120" w:type="dxa"/>
            <w:vAlign w:val="bottom"/>
          </w:tcPr>
          <w:p>
            <w:pPr>
              <w:spacing w:after="0"/>
              <w:rPr>
                <w:sz w:val="24"/>
                <w:szCs w:val="24"/>
                <w:color w:val="auto"/>
              </w:rPr>
            </w:pPr>
          </w:p>
        </w:tc>
        <w:tc>
          <w:tcPr>
            <w:tcW w:w="538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Employment Agreement between American Well Corporation and Vaughn</w:t>
              </w:r>
            </w:hyperlink>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23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Paunovich, dated May 19, 2022</w:t>
              </w:r>
            </w:hyperlink>
          </w:p>
        </w:tc>
        <w:tc>
          <w:tcPr>
            <w:tcW w:w="20" w:type="dxa"/>
            <w:vAlign w:val="bottom"/>
            <w:tcBorders>
              <w:bottom w:val="single" w:sz="8" w:color="0000EE"/>
            </w:tcBorders>
          </w:tcPr>
          <w:p>
            <w:pPr>
              <w:spacing w:after="0"/>
              <w:rPr>
                <w:sz w:val="17"/>
                <w:szCs w:val="17"/>
                <w:color w:val="auto"/>
              </w:rPr>
            </w:pPr>
          </w:p>
        </w:tc>
        <w:tc>
          <w:tcPr>
            <w:tcW w:w="3060" w:type="dxa"/>
            <w:vAlign w:val="bottom"/>
            <w:gridSpan w:val="29"/>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358"/>
        </w:trPr>
        <w:tc>
          <w:tcPr>
            <w:tcW w:w="1120" w:type="dxa"/>
            <w:vAlign w:val="bottom"/>
          </w:tcPr>
          <w:p>
            <w:pPr>
              <w:spacing w:after="0"/>
              <w:rPr>
                <w:sz w:val="24"/>
                <w:szCs w:val="24"/>
                <w:color w:val="auto"/>
              </w:rPr>
            </w:pPr>
          </w:p>
        </w:tc>
        <w:tc>
          <w:tcPr>
            <w:tcW w:w="53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Agreement between American Well Corporation and Robert</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2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Shepardson, dated September 15, 2021</w:t>
              </w:r>
            </w:hyperlink>
          </w:p>
        </w:tc>
        <w:tc>
          <w:tcPr>
            <w:tcW w:w="2560" w:type="dxa"/>
            <w:vAlign w:val="bottom"/>
            <w:gridSpan w:val="27"/>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358"/>
        </w:trPr>
        <w:tc>
          <w:tcPr>
            <w:tcW w:w="1120" w:type="dxa"/>
            <w:vAlign w:val="bottom"/>
          </w:tcPr>
          <w:p>
            <w:pPr>
              <w:spacing w:after="0"/>
              <w:rPr>
                <w:sz w:val="24"/>
                <w:szCs w:val="24"/>
                <w:color w:val="auto"/>
              </w:rPr>
            </w:pPr>
          </w:p>
        </w:tc>
        <w:tc>
          <w:tcPr>
            <w:tcW w:w="46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Addendum to Employment Agreement between American Well</w:t>
              </w:r>
            </w:hyperlink>
          </w:p>
        </w:tc>
        <w:tc>
          <w:tcPr>
            <w:tcW w:w="76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Corporation and Ido Schoenberg, dated June 29, 2021</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34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Non-Employee Director Compensation Policy</w:t>
              </w:r>
            </w:hyperlink>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1500" w:type="dxa"/>
            <w:vAlign w:val="bottom"/>
            <w:gridSpan w:val="19"/>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0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2020 Employee Stock Purchase Plan Sub-Plan for Israeli Participants</w:t>
              </w:r>
            </w:hyperlink>
          </w:p>
        </w:tc>
        <w:tc>
          <w:tcPr>
            <w:tcW w:w="380" w:type="dxa"/>
            <w:vAlign w:val="bottom"/>
            <w:gridSpan w:val="9"/>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380" w:type="dxa"/>
            <w:vAlign w:val="bottom"/>
            <w:gridSpan w:val="4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PSU Award Agreement 2023</w:t>
              </w:r>
            </w:hyperlink>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10-Q</w:t>
            </w: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1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Sub Plan to the 2020 Equity Incentive Plan Republic of Ireland and the</w:t>
              </w:r>
            </w:hyperlink>
          </w:p>
        </w:tc>
        <w:tc>
          <w:tcPr>
            <w:tcW w:w="2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2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United Kingdom</w:t>
              </w:r>
            </w:hyperlink>
          </w:p>
        </w:tc>
        <w:tc>
          <w:tcPr>
            <w:tcW w:w="20" w:type="dxa"/>
            <w:vAlign w:val="bottom"/>
            <w:tcBorders>
              <w:bottom w:val="single" w:sz="8" w:color="0000EE"/>
            </w:tcBorders>
          </w:tcPr>
          <w:p>
            <w:pPr>
              <w:spacing w:after="0"/>
              <w:rPr>
                <w:sz w:val="17"/>
                <w:szCs w:val="17"/>
                <w:color w:val="auto"/>
              </w:rPr>
            </w:pPr>
          </w:p>
        </w:tc>
        <w:tc>
          <w:tcPr>
            <w:tcW w:w="4140" w:type="dxa"/>
            <w:vAlign w:val="bottom"/>
            <w:gridSpan w:val="37"/>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10-K</w:t>
            </w:r>
          </w:p>
        </w:tc>
      </w:tr>
      <w:tr>
        <w:trPr>
          <w:trHeight w:val="358"/>
        </w:trPr>
        <w:tc>
          <w:tcPr>
            <w:tcW w:w="1120" w:type="dxa"/>
            <w:vAlign w:val="bottom"/>
          </w:tcPr>
          <w:p>
            <w:pPr>
              <w:spacing w:after="0"/>
              <w:rPr>
                <w:sz w:val="24"/>
                <w:szCs w:val="24"/>
                <w:color w:val="auto"/>
              </w:rPr>
            </w:pPr>
          </w:p>
        </w:tc>
        <w:tc>
          <w:tcPr>
            <w:tcW w:w="4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American Well Corporation Non-Employee Director Compensation</w:t>
              </w:r>
            </w:hyperlink>
          </w:p>
        </w:tc>
        <w:tc>
          <w:tcPr>
            <w:tcW w:w="46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Policy</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48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American Well Corporation Sub Plan to the 2020 Employee Stock</w:t>
              </w:r>
            </w:hyperlink>
          </w:p>
        </w:tc>
        <w:tc>
          <w:tcPr>
            <w:tcW w:w="54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8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Purchase Plan Republic of Ireland and the United Kingdom, dated</w:t>
              </w:r>
            </w:hyperlink>
          </w:p>
        </w:tc>
        <w:tc>
          <w:tcPr>
            <w:tcW w:w="5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February 8, 2022</w:t>
              </w:r>
            </w:hyperlink>
          </w:p>
        </w:tc>
        <w:tc>
          <w:tcPr>
            <w:tcW w:w="20" w:type="dxa"/>
            <w:vAlign w:val="bottom"/>
            <w:tcBorders>
              <w:bottom w:val="single" w:sz="8" w:color="0000EE"/>
            </w:tcBorders>
          </w:tcPr>
          <w:p>
            <w:pPr>
              <w:spacing w:after="0"/>
              <w:rPr>
                <w:sz w:val="17"/>
                <w:szCs w:val="17"/>
                <w:color w:val="auto"/>
              </w:rPr>
            </w:pPr>
          </w:p>
        </w:tc>
        <w:tc>
          <w:tcPr>
            <w:tcW w:w="4120" w:type="dxa"/>
            <w:vAlign w:val="bottom"/>
            <w:gridSpan w:val="36"/>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10-K</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5380" w:type="dxa"/>
            <w:vAlign w:val="bottom"/>
            <w:gridSpan w:val="4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PSU Award Agreement</w:t>
              </w:r>
            </w:hyperlink>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10-Q</w:t>
            </w:r>
          </w:p>
        </w:tc>
      </w:tr>
      <w:tr>
        <w:trPr>
          <w:trHeight w:val="20"/>
        </w:trPr>
        <w:tc>
          <w:tcPr>
            <w:tcW w:w="1120" w:type="dxa"/>
            <w:vAlign w:val="bottom"/>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0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Amendment to the 2020 Employee Stock Purchase Plan</w:t>
              </w:r>
            </w:hyperlink>
          </w:p>
        </w:tc>
        <w:tc>
          <w:tcPr>
            <w:tcW w:w="20" w:type="dxa"/>
            <w:vAlign w:val="bottom"/>
            <w:tcBorders>
              <w:bottom w:val="single" w:sz="8" w:color="0000EE"/>
            </w:tcBorders>
          </w:tcPr>
          <w:p>
            <w:pPr>
              <w:spacing w:after="0"/>
              <w:rPr>
                <w:sz w:val="24"/>
                <w:szCs w:val="24"/>
                <w:color w:val="auto"/>
              </w:rPr>
            </w:pPr>
          </w:p>
        </w:tc>
        <w:tc>
          <w:tcPr>
            <w:tcW w:w="1320" w:type="dxa"/>
            <w:vAlign w:val="bottom"/>
            <w:gridSpan w:val="17"/>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10-Q</w:t>
            </w:r>
          </w:p>
        </w:tc>
      </w:tr>
      <w:tr>
        <w:trPr>
          <w:trHeight w:val="358"/>
        </w:trPr>
        <w:tc>
          <w:tcPr>
            <w:tcW w:w="1120" w:type="dxa"/>
            <w:vAlign w:val="bottom"/>
          </w:tcPr>
          <w:p>
            <w:pPr>
              <w:spacing w:after="0"/>
              <w:rPr>
                <w:sz w:val="24"/>
                <w:szCs w:val="24"/>
                <w:color w:val="auto"/>
              </w:rPr>
            </w:pPr>
          </w:p>
        </w:tc>
        <w:tc>
          <w:tcPr>
            <w:tcW w:w="538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Employment Agreement between American Well Corporation and Phyllis</w:t>
              </w:r>
            </w:hyperlink>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Gotlib, dated April 8, 2022</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33"/>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358"/>
        </w:trPr>
        <w:tc>
          <w:tcPr>
            <w:tcW w:w="1120" w:type="dxa"/>
            <w:vAlign w:val="bottom"/>
          </w:tcPr>
          <w:p>
            <w:pPr>
              <w:spacing w:after="0"/>
              <w:rPr>
                <w:sz w:val="24"/>
                <w:szCs w:val="24"/>
                <w:color w:val="auto"/>
              </w:rPr>
            </w:pPr>
          </w:p>
        </w:tc>
        <w:tc>
          <w:tcPr>
            <w:tcW w:w="53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Performance Share Unit Agreement between American Well Corporation</w:t>
              </w:r>
            </w:hyperlink>
          </w:p>
        </w:tc>
        <w:tc>
          <w:tcPr>
            <w:tcW w:w="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Ido Schoenberg, dated May 11, 2022</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20"/>
        </w:trPr>
        <w:tc>
          <w:tcPr>
            <w:tcW w:w="1120" w:type="dxa"/>
            <w:vAlign w:val="bottom"/>
          </w:tcPr>
          <w:p>
            <w:pPr>
              <w:spacing w:after="0" w:line="20" w:lineRule="exact"/>
              <w:rPr>
                <w:sz w:val="1"/>
                <w:szCs w:val="1"/>
                <w:color w:val="auto"/>
              </w:rPr>
            </w:pPr>
          </w:p>
        </w:tc>
        <w:tc>
          <w:tcPr>
            <w:tcW w:w="2980" w:type="dxa"/>
            <w:vAlign w:val="bottom"/>
            <w:tcBorders>
              <w:right w:val="single" w:sz="8" w:color="0000EE"/>
            </w:tcBorders>
            <w:gridSpan w:val="1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2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3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Performance Share Unit Agreement between American Well Corporation</w:t>
              </w:r>
            </w:hyperlink>
          </w:p>
        </w:tc>
        <w:tc>
          <w:tcPr>
            <w:tcW w:w="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5380" w:type="dxa"/>
            <w:vAlign w:val="bottom"/>
            <w:gridSpan w:val="4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Roy Schoenberg, dated May 11, 2022</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466"/>
        </w:trPr>
        <w:tc>
          <w:tcPr>
            <w:tcW w:w="1120" w:type="dxa"/>
            <w:vAlign w:val="bottom"/>
          </w:tcPr>
          <w:p>
            <w:pPr>
              <w:spacing w:after="0"/>
              <w:rPr>
                <w:sz w:val="24"/>
                <w:szCs w:val="24"/>
                <w:color w:val="auto"/>
              </w:rPr>
            </w:pPr>
          </w:p>
        </w:tc>
        <w:tc>
          <w:tcPr>
            <w:tcW w:w="3020" w:type="dxa"/>
            <w:vAlign w:val="bottom"/>
            <w:tcBorders>
              <w:top w:val="single" w:sz="8" w:color="0000FF"/>
            </w:tcBorders>
            <w:gridSpan w:val="16"/>
          </w:tcPr>
          <w:p>
            <w:pPr>
              <w:spacing w:after="0"/>
              <w:rPr>
                <w:sz w:val="24"/>
                <w:szCs w:val="24"/>
                <w:color w:val="auto"/>
              </w:rPr>
            </w:pPr>
          </w:p>
        </w:tc>
        <w:tc>
          <w:tcPr>
            <w:tcW w:w="1600" w:type="dxa"/>
            <w:vAlign w:val="bottom"/>
            <w:gridSpan w:val="11"/>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10.27</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10.28</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9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10.34</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9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333-252047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12, 2021</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2023</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September 21, 2021</w:t>
            </w:r>
          </w:p>
        </w:tc>
        <w:tc>
          <w:tcPr>
            <w:tcW w:w="0" w:type="dxa"/>
            <w:vAlign w:val="bottom"/>
          </w:tcPr>
          <w:p>
            <w:pPr>
              <w:spacing w:after="0"/>
              <w:rPr>
                <w:sz w:val="1"/>
                <w:szCs w:val="1"/>
                <w:color w:val="auto"/>
              </w:rPr>
            </w:pPr>
          </w:p>
        </w:tc>
      </w:tr>
      <w:tr>
        <w:trPr>
          <w:trHeight w:val="48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8"/>
              </w:rPr>
              <w:t>November 12, 2021</w:t>
            </w: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10.36</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10.37</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 2023</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28, 2022</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2023</w:t>
            </w: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28, 2022</w:t>
            </w: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10, 2022</w:t>
            </w:r>
          </w:p>
        </w:tc>
        <w:tc>
          <w:tcPr>
            <w:tcW w:w="0" w:type="dxa"/>
            <w:vAlign w:val="bottom"/>
          </w:tcPr>
          <w:p>
            <w:pPr>
              <w:spacing w:after="0"/>
              <w:rPr>
                <w:sz w:val="1"/>
                <w:szCs w:val="1"/>
                <w:color w:val="auto"/>
              </w:rPr>
            </w:pP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10, 2022</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0" w:type="dxa"/>
            <w:vAlign w:val="bottom"/>
          </w:tcPr>
          <w:p>
            <w:pPr>
              <w:spacing w:after="0"/>
              <w:rPr>
                <w:sz w:val="1"/>
                <w:szCs w:val="1"/>
                <w:color w:val="auto"/>
              </w:rPr>
            </w:pP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0" w:type="dxa"/>
            <w:vAlign w:val="bottom"/>
          </w:tcPr>
          <w:p>
            <w:pPr>
              <w:spacing w:after="0"/>
              <w:rPr>
                <w:sz w:val="1"/>
                <w:szCs w:val="1"/>
                <w:color w:val="auto"/>
              </w:rPr>
            </w:pPr>
          </w:p>
        </w:tc>
      </w:tr>
    </w:tbl>
    <w:p>
      <w:pPr>
        <w:sectPr>
          <w:pgSz w:w="11900" w:h="16838" w:orient="portrait"/>
          <w:cols w:equalWidth="0" w:num="2">
            <w:col w:w="7020" w:space="620"/>
            <w:col w:w="3440"/>
          </w:cols>
          <w:pgMar w:left="340" w:top="1080" w:right="479" w:bottom="1440" w:gutter="0" w:footer="0" w:header="0"/>
        </w:sectPr>
      </w:pPr>
    </w:p>
    <w:bookmarkStart w:id="79" w:name="page80"/>
    <w:bookmarkEnd w:id="7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1 Employment Agreement by and between Kurt Knight</w:t>
              </w:r>
            </w:hyperlink>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5440" w:type="dxa"/>
            <w:vAlign w:val="bottom"/>
            <w:gridSpan w:val="18"/>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and American Well Corporation, dated August 26, 2020</w:t>
              </w:r>
            </w:hyperlink>
          </w:p>
        </w:tc>
        <w:tc>
          <w:tcPr>
            <w:tcW w:w="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November 8, 2022</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49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No. 1 Employment Agreement by and between Robert</w:t>
              </w:r>
            </w:hyperlink>
          </w:p>
        </w:tc>
        <w:tc>
          <w:tcPr>
            <w:tcW w:w="52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5440" w:type="dxa"/>
            <w:vAlign w:val="bottom"/>
            <w:gridSpan w:val="18"/>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Shepardson and American Well Corporation, dated September 15, 2021</w:t>
              </w:r>
            </w:hyperlink>
          </w:p>
        </w:tc>
        <w:tc>
          <w:tcPr>
            <w:tcW w:w="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November 8, 2022</w:t>
            </w:r>
          </w:p>
        </w:tc>
      </w:tr>
      <w:tr>
        <w:trPr>
          <w:trHeight w:val="358"/>
        </w:trPr>
        <w:tc>
          <w:tcPr>
            <w:tcW w:w="11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 1 Employment Agreement by and between Phyllis</w:t>
              </w:r>
            </w:hyperlink>
          </w:p>
        </w:tc>
        <w:tc>
          <w:tcPr>
            <w:tcW w:w="240" w:type="dxa"/>
            <w:vAlign w:val="bottom"/>
            <w:tcBorders>
              <w:top w:val="single" w:sz="8" w:color="0000FF"/>
            </w:tcBorders>
            <w:gridSpan w:val="2"/>
          </w:tcPr>
          <w:p>
            <w:pPr>
              <w:spacing w:after="0"/>
              <w:rPr>
                <w:sz w:val="24"/>
                <w:szCs w:val="24"/>
                <w:color w:val="auto"/>
              </w:rPr>
            </w:pPr>
          </w:p>
        </w:tc>
        <w:tc>
          <w:tcPr>
            <w:tcW w:w="28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5440" w:type="dxa"/>
            <w:vAlign w:val="bottom"/>
            <w:gridSpan w:val="18"/>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Gotlib and American Well Corporation, dated April 8, 2022</w:t>
              </w:r>
            </w:hyperlink>
          </w:p>
        </w:tc>
        <w:tc>
          <w:tcPr>
            <w:tcW w:w="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November 8, 2022</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to the MSA Agreement, dated October 20, 2023</w:t>
              </w:r>
            </w:hyperlink>
          </w:p>
        </w:tc>
        <w:tc>
          <w:tcPr>
            <w:tcW w:w="60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5440" w:type="dxa"/>
            <w:vAlign w:val="bottom"/>
            <w:gridSpan w:val="1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between Elevance Health, Inc. and American Well Corporation</w:t>
              </w:r>
            </w:hyperlink>
          </w:p>
        </w:tc>
        <w:tc>
          <w:tcPr>
            <w:tcW w:w="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November 1, 2023</w:t>
            </w: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45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PSU Award Agreement 2023</w:t>
              </w:r>
            </w:hyperlink>
          </w:p>
        </w:tc>
        <w:tc>
          <w:tcPr>
            <w:tcW w:w="900" w:type="dxa"/>
            <w:vAlign w:val="bottom"/>
            <w:gridSpan w:val="11"/>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November 1, 2023</w:t>
            </w: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w:t>
            </w:r>
          </w:p>
        </w:tc>
        <w:tc>
          <w:tcPr>
            <w:tcW w:w="1820" w:type="dxa"/>
            <w:vAlign w:val="bottom"/>
            <w:tcBorders>
              <w:top w:val="single" w:sz="8" w:color="0000FF"/>
            </w:tcBorders>
          </w:tcPr>
          <w:p>
            <w:pPr>
              <w:spacing w:after="0"/>
              <w:rPr>
                <w:sz w:val="24"/>
                <w:szCs w:val="24"/>
                <w:color w:val="auto"/>
              </w:rPr>
            </w:pPr>
          </w:p>
        </w:tc>
        <w:tc>
          <w:tcPr>
            <w:tcW w:w="2720" w:type="dxa"/>
            <w:vAlign w:val="bottom"/>
            <w:gridSpan w:val="14"/>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Officers Pursuant to Rules 13a-14(a)</w:t>
            </w:r>
          </w:p>
        </w:tc>
        <w:tc>
          <w:tcPr>
            <w:tcW w:w="1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12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5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26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12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4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Officers Pursuant to 18 U.S.C.</w:t>
            </w:r>
          </w:p>
        </w:tc>
        <w:tc>
          <w:tcPr>
            <w:tcW w:w="58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58"/>
        </w:trPr>
        <w:tc>
          <w:tcPr>
            <w:tcW w:w="1120" w:type="dxa"/>
            <w:vAlign w:val="bottom"/>
          </w:tcPr>
          <w:p>
            <w:pPr>
              <w:spacing w:after="0"/>
              <w:rPr>
                <w:sz w:val="24"/>
                <w:szCs w:val="24"/>
                <w:color w:val="auto"/>
              </w:rPr>
            </w:pPr>
          </w:p>
        </w:tc>
        <w:tc>
          <w:tcPr>
            <w:tcW w:w="5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Policy Regarding Recovery of Erroneously Awarded Compensation</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900" w:type="dxa"/>
            <w:vAlign w:val="bottom"/>
            <w:tcBorders>
              <w:right w:val="single" w:sz="8" w:color="0000EE"/>
            </w:tcBorders>
            <w:gridSpan w:val="10"/>
            <w:shd w:val="clear" w:color="auto" w:fill="0000FF"/>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0"/>
        </w:trPr>
        <w:tc>
          <w:tcPr>
            <w:tcW w:w="112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9"/>
        </w:trPr>
        <w:tc>
          <w:tcPr>
            <w:tcW w:w="112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17" w:lineRule="exact"/>
        <w:rPr>
          <w:sz w:val="20"/>
          <w:szCs w:val="20"/>
          <w:color w:val="auto"/>
        </w:rPr>
      </w:pPr>
    </w:p>
    <w:p>
      <w:pPr>
        <w:ind w:right="4980" w:firstLine="21"/>
        <w:spacing w:after="0" w:line="417" w:lineRule="auto"/>
        <w:tabs>
          <w:tab w:leader="none" w:pos="11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9512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redacted in compliance with Regulation S-K Item 601(a)(6) and Item 601(b)(10).</w:t>
      </w:r>
    </w:p>
    <w:p>
      <w:pPr>
        <w:spacing w:after="0" w:line="9" w:lineRule="exact"/>
        <w:rPr>
          <w:sz w:val="20"/>
          <w:szCs w:val="20"/>
          <w:color w:val="auto"/>
        </w:rPr>
      </w:pPr>
    </w:p>
    <w:p>
      <w:pPr>
        <w:ind w:right="40" w:firstLine="8"/>
        <w:spacing w:after="0" w:line="260" w:lineRule="auto"/>
        <w:tabs>
          <w:tab w:leader="none" w:pos="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and will be provided on a supplemental basis to the Securities and Exchange Commission upon request.</w:t>
      </w:r>
    </w:p>
    <w:p>
      <w:pPr>
        <w:spacing w:after="0" w:line="18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9" w:right="5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American Well Corporation</w:t>
            </w:r>
          </w:p>
        </w:tc>
      </w:tr>
      <w:tr>
        <w:trPr>
          <w:trHeight w:val="47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Ido Schoenberg, MD</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7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Schoenberg, MD, MPH</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Roy Schoenberg</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3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Ido Schoenberg, MD</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Ido Schoenberg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Roy Schoenberg, MD, MPH</w:t>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Roy Schoenberg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Robert Shepardson</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Robert Shepardson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Paul McNeice</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Paul McNeice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Deval Patrick</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Deval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Stephen Schlegel</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Stephen Schlegel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Dr. Peter Slavin</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Dr. Peter Slavin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Derek Ross</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Derek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Dr. Toby Cosgrove</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Toby Cosgrove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Rob Webb</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Rob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Deborah Jackson</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Deborah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57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46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46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46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50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50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50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49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50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50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49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bl>
    <w:p>
      <w:pPr>
        <w:spacing w:after="0" w:line="351"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83"/>
        </w:trPr>
        <w:tc>
          <w:tcPr>
            <w:tcW w:w="4240" w:type="dxa"/>
            <w:vAlign w:val="bottom"/>
            <w:tcBorders>
              <w:bottom w:val="single" w:sz="8" w:color="0000FF"/>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220" w:type="dxa"/>
            <w:vAlign w:val="bottom"/>
            <w:gridSpan w:val="3"/>
          </w:tcPr>
          <w:p>
            <w:pPr>
              <w:spacing w:after="0"/>
              <w:rPr>
                <w:sz w:val="15"/>
                <w:szCs w:val="15"/>
                <w:color w:val="auto"/>
              </w:rPr>
            </w:pPr>
          </w:p>
        </w:tc>
        <w:tc>
          <w:tcPr>
            <w:tcW w:w="780" w:type="dxa"/>
            <w:vAlign w:val="bottom"/>
          </w:tcPr>
          <w:p>
            <w:pPr>
              <w:ind w:left="52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10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60" w:type="dxa"/>
            <w:vAlign w:val="bottom"/>
            <w:gridSpan w:val="2"/>
          </w:tcPr>
          <w:p>
            <w:pPr>
              <w:spacing w:after="0"/>
              <w:rPr>
                <w:sz w:val="19"/>
                <w:szCs w:val="19"/>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10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Convertible Preferred Stock and Stockholders’ Equity (Deficit)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700" w:type="dxa"/>
            <w:vAlign w:val="bottom"/>
            <w:tcBorders>
              <w:top w:val="single" w:sz="8" w:color="0000FF"/>
            </w:tcBorders>
            <w:gridSpan w:val="4"/>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10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F-8</w:t>
            </w:r>
          </w:p>
        </w:tc>
      </w:tr>
      <w:tr>
        <w:trPr>
          <w:trHeight w:val="682"/>
        </w:trPr>
        <w:tc>
          <w:tcPr>
            <w:tcW w:w="2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78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American Well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American Well Corporation and its subsidiaries (the “Company”) as of December 31, 2023 and 2022, and the related consolidated statements of operations and comprehensive loss, of changes in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Platform Subscription and Visits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Notes 1, 2 and 3 to the consolidated financial statements, the Company generates revenue primarily from contracts with clients who purchase subscriptions to access the Company’s enterprise software. Clients can also purchase access to the Company’s co-branded digital care practice hosted on the Company’s shared services platform. The Company also generates revenue when either the enterprise digital care platform or the shared services platform is utilized to conduct a medical visit. The Company’s revenue for platform subscription and visits was $231.8 million for the year ended December 31, 2023.</w:t>
      </w:r>
    </w:p>
    <w:p>
      <w:pPr>
        <w:spacing w:after="0" w:line="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platform subscription and visits is a critical audit matter are a high degree of auditor effort in performing procedures and evaluating audit evidence related to accuracy and occurrence of revenue transactions.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accuracy and occurrence of revenue transactions. These procedures also included, among others, evaluating the accuracy and occurrence of a sample of revenue transactions by obtaining and inspecting source documents, including sales contracts, project access approvals, medical records and cash receipts from customers, when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85" w:name="page86"/>
    <w:bookmarkEnd w:id="85"/>
    <w:p>
      <w:pPr>
        <w:ind w:left="4400"/>
        <w:spacing w:after="0"/>
        <w:rPr>
          <w:sz w:val="20"/>
          <w:szCs w:val="20"/>
          <w:color w:val="auto"/>
        </w:rPr>
      </w:pPr>
      <w:r>
        <w:rPr>
          <w:rFonts w:ascii="Times New Roman" w:cs="Times New Roman" w:eastAsia="Times New Roman" w:hAnsi="Times New Roman"/>
          <w:sz w:val="14"/>
          <w:szCs w:val="14"/>
          <w:b w:val="1"/>
          <w:bCs w:val="1"/>
          <w:color w:val="auto"/>
        </w:rPr>
        <w:t>AMERICAN WELL CORPORATION</w:t>
      </w:r>
    </w:p>
    <w:p>
      <w:pPr>
        <w:ind w:left="43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372,038</w:t>
            </w:r>
          </w:p>
        </w:tc>
        <w:tc>
          <w:tcPr>
            <w:tcW w:w="720" w:type="dxa"/>
            <w:vAlign w:val="bottom"/>
            <w:gridSpan w:val="2"/>
            <w:shd w:val="clear" w:color="auto" w:fill="CFF0FC"/>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538,546</w:t>
            </w:r>
          </w:p>
        </w:tc>
        <w:tc>
          <w:tcPr>
            <w:tcW w:w="0" w:type="dxa"/>
            <w:vAlign w:val="bottom"/>
          </w:tcPr>
          <w:p>
            <w:pPr>
              <w:spacing w:after="0"/>
              <w:rPr>
                <w:sz w:val="1"/>
                <w:szCs w:val="1"/>
                <w:color w:val="auto"/>
              </w:rPr>
            </w:pPr>
          </w:p>
        </w:tc>
      </w:tr>
      <w:tr>
        <w:trPr>
          <w:trHeight w:val="158"/>
        </w:trPr>
        <w:tc>
          <w:tcPr>
            <w:tcW w:w="77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Accounts receivable ($1,626 and $2,597, from related parties and net of</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allowances of $2,291 and $1,884, respectively)</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54,146</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58,372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6,652</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8,737</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contract acquisition costs</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2,262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1,394</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14,484</w:t>
            </w:r>
          </w:p>
        </w:tc>
        <w:tc>
          <w:tcPr>
            <w:tcW w:w="1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19,567</w:t>
            </w: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current assets</w:t>
            </w:r>
          </w:p>
        </w:tc>
        <w:tc>
          <w:tcPr>
            <w:tcW w:w="36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449,582</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626,616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Restricted cash</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795</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572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1,012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Goodwill</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435,279</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Intangibles assets, net</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120,248</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134,980</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10,453</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13,509</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contract acquisition costs, net of current portion</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4,792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3,394</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2,083</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1,972</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Investment in minority owned joint venture (Note 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1,180</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assets</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589,705</w:t>
            </w:r>
          </w:p>
        </w:tc>
        <w:tc>
          <w:tcPr>
            <w:tcW w:w="720" w:type="dxa"/>
            <w:vAlign w:val="bottom"/>
            <w:gridSpan w:val="2"/>
            <w:shd w:val="clear" w:color="auto" w:fill="CFF0FC"/>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1,217,557</w:t>
            </w:r>
          </w:p>
        </w:tc>
        <w:tc>
          <w:tcPr>
            <w:tcW w:w="0" w:type="dxa"/>
            <w:vAlign w:val="bottom"/>
          </w:tcPr>
          <w:p>
            <w:pPr>
              <w:spacing w:after="0"/>
              <w:rPr>
                <w:sz w:val="1"/>
                <w:szCs w:val="1"/>
                <w:color w:val="auto"/>
              </w:rPr>
            </w:pPr>
          </w:p>
        </w:tc>
      </w:tr>
      <w:tr>
        <w:trPr>
          <w:trHeight w:val="170"/>
        </w:trPr>
        <w:tc>
          <w:tcPr>
            <w:tcW w:w="7720" w:type="dxa"/>
            <w:vAlign w:val="bottom"/>
            <w:tcBorders>
              <w:top w:val="single" w:sz="8" w:color="CFF0FC"/>
            </w:tcBorders>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4,864</w:t>
            </w:r>
          </w:p>
        </w:tc>
        <w:tc>
          <w:tcPr>
            <w:tcW w:w="720" w:type="dxa"/>
            <w:vAlign w:val="bottom"/>
            <w:gridSpan w:val="2"/>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7,236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38,988</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54,258</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liability, current</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3,580</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3,057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revenue ($1,286 and $1,665 from related parties, respectively)</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46,365</w:t>
            </w:r>
          </w:p>
        </w:tc>
        <w:tc>
          <w:tcPr>
            <w:tcW w:w="1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49,505</w:t>
            </w: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93,797</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114,056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1,425</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1,574</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8,206</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11,787</w:t>
            </w:r>
          </w:p>
        </w:tc>
        <w:tc>
          <w:tcPr>
            <w:tcW w:w="0" w:type="dxa"/>
            <w:vAlign w:val="bottom"/>
          </w:tcPr>
          <w:p>
            <w:pPr>
              <w:spacing w:after="0"/>
              <w:rPr>
                <w:sz w:val="1"/>
                <w:szCs w:val="1"/>
                <w:color w:val="auto"/>
              </w:rPr>
            </w:pPr>
          </w:p>
        </w:tc>
      </w:tr>
      <w:tr>
        <w:trPr>
          <w:trHeight w:val="158"/>
        </w:trPr>
        <w:tc>
          <w:tcPr>
            <w:tcW w:w="77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Deferred revenue, net of current portion ($0 and $10 from related</w:t>
            </w:r>
          </w:p>
        </w:tc>
        <w:tc>
          <w:tcPr>
            <w:tcW w:w="36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6,091</w:t>
            </w: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6,289</w:t>
            </w:r>
          </w:p>
        </w:tc>
        <w:tc>
          <w:tcPr>
            <w:tcW w:w="0" w:type="dxa"/>
            <w:vAlign w:val="bottom"/>
          </w:tcPr>
          <w:p>
            <w:pPr>
              <w:spacing w:after="0"/>
              <w:rPr>
                <w:sz w:val="1"/>
                <w:szCs w:val="1"/>
                <w:color w:val="auto"/>
              </w:rPr>
            </w:pPr>
          </w:p>
        </w:tc>
      </w:tr>
      <w:tr>
        <w:trPr>
          <w:trHeight w:val="179"/>
        </w:trPr>
        <w:tc>
          <w:tcPr>
            <w:tcW w:w="77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parties, respectively)</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liabilities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109,519</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133,706</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Stockholders’ equity:</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7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Preferred stock, $0.01 par value; 100,000,000 shares authorized, no shares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issued or outstanding as of December 31, 2023 and as of December 31, 2022</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77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Common stock, $0.01 par value; 1,000,000,000 Class A shares authorized, 255,542,545 and</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244,193,727 shares issued and outstanding, respectively; 100,000,000 Class B shares</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authorized, 27,390,397 shares issued and outstanding, respectively;</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200,000,000 Class C shares authorized 5,555,555 issued and outstanding as of</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December 31, 2023 and as of December 31, 2022</w:t>
            </w:r>
          </w:p>
        </w:tc>
        <w:tc>
          <w:tcPr>
            <w:tcW w:w="36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2,879</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2,766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2,234,768</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2,160,108</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(15,650 )</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(16,969 )</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(1,757,778 )</w:t>
            </w:r>
          </w:p>
        </w:tc>
        <w:tc>
          <w:tcPr>
            <w:tcW w:w="1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(1,082,028 )</w:t>
            </w:r>
          </w:p>
        </w:tc>
        <w:tc>
          <w:tcPr>
            <w:tcW w:w="0" w:type="dxa"/>
            <w:vAlign w:val="bottom"/>
          </w:tcPr>
          <w:p>
            <w:pPr>
              <w:spacing w:after="0"/>
              <w:rPr>
                <w:sz w:val="1"/>
                <w:szCs w:val="1"/>
                <w:color w:val="auto"/>
              </w:rPr>
            </w:pPr>
          </w:p>
        </w:tc>
      </w:tr>
      <w:tr>
        <w:trPr>
          <w:trHeight w:val="183"/>
        </w:trPr>
        <w:tc>
          <w:tcPr>
            <w:tcW w:w="77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American Well Corporation stockholders’ equity</w:t>
            </w:r>
          </w:p>
        </w:tc>
        <w:tc>
          <w:tcPr>
            <w:tcW w:w="36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464,219</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1,063,877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Non-controlling interest</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15,967</w:t>
            </w:r>
          </w:p>
        </w:tc>
        <w:tc>
          <w:tcPr>
            <w:tcW w:w="1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19,974</w:t>
            </w:r>
          </w:p>
        </w:tc>
        <w:tc>
          <w:tcPr>
            <w:tcW w:w="0" w:type="dxa"/>
            <w:vAlign w:val="bottom"/>
          </w:tcPr>
          <w:p>
            <w:pPr>
              <w:spacing w:after="0"/>
              <w:rPr>
                <w:sz w:val="1"/>
                <w:szCs w:val="1"/>
                <w:color w:val="auto"/>
              </w:rPr>
            </w:pPr>
          </w:p>
        </w:tc>
      </w:tr>
      <w:tr>
        <w:trPr>
          <w:trHeight w:val="183"/>
        </w:trPr>
        <w:tc>
          <w:tcPr>
            <w:tcW w:w="77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480,186</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1,083,851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589,705</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1,217,557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-4568190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-3350895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-3333750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-2605405</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-2022475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-530860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($3,859, $4,544 and $12,045 from related parties, respectively)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259,047</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277,190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252,789</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revenue, excluding depreciation and amortization of intangible assets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160,422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148,474</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138,487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106,594</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81,628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66,154</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126,645</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146,353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94,624</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26,153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16,089</w:t>
            </w: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436,479</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951,190</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553,043</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431,935</w:t>
            </w:r>
          </w:p>
        </w:tc>
      </w:tr>
      <w:tr>
        <w:trPr>
          <w:trHeight w:val="241"/>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(692,143 )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(275,853 )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(179,146 )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before benefit (expense) from income taxes and loss from</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48"/>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(672,721 )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(269,730 )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(179,026 )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benefit from income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5,376</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(2,590 )</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(3,132 )</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(176,782 )</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American Well Corporation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(675,164 )</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(270,429 )</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(176,334 )</w:t>
            </w: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48"/>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4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284,256,743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274,249,749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254,068,942</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4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(176,782 )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(6,565 )</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(677,852 )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(282,688 )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(183,432 )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American Well Corporation</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(673,845 )</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(281,045 )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-3162300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-2073910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-2073910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-1757045</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-1757045</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93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93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ectPr>
          <w:pgSz w:w="11900" w:h="16838" w:orient="portrait"/>
          <w:cols w:equalWidth="0" w:num="1">
            <w:col w:w="11240"/>
          </w:cols>
          <w:pgMar w:left="320" w:top="1089" w:right="339" w:bottom="1440" w:gutter="0" w:footer="0" w:header="0"/>
        </w:sect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Treasury</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2"/>
                <w:szCs w:val="12"/>
                <w:color w:val="auto"/>
              </w:rPr>
            </w:pPr>
          </w:p>
        </w:tc>
      </w:tr>
      <w:tr>
        <w:trPr>
          <w:trHeight w:val="15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235,604,105</w:t>
            </w:r>
          </w:p>
        </w:tc>
        <w:tc>
          <w:tcPr>
            <w:tcW w:w="2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2,357</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(37,568 )</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6,695,258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7,394,144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Retirement of treasury stock purchased in 2020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37,568</w:t>
            </w:r>
          </w:p>
        </w:tc>
        <w:tc>
          <w:tcPr>
            <w:tcW w:w="60" w:type="dxa"/>
            <w:vAlign w:val="bottom"/>
          </w:tcPr>
          <w:p>
            <w:pPr>
              <w:spacing w:after="0"/>
              <w:rPr>
                <w:sz w:val="14"/>
                <w:szCs w:val="14"/>
                <w:color w:val="auto"/>
              </w:rPr>
            </w:pP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related to net share settlement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and retired treasury stock in 2021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(798,933 )</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(8 )</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stock under employee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in acquisitions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12,798,992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contributed by selling shareholders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of acquired businesses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loss on available-for-sale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securities, net of tax</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r>
      <w:tr>
        <w:trPr>
          <w:trHeight w:val="15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2021</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261,871,587</w:t>
            </w:r>
          </w:p>
        </w:tc>
        <w:tc>
          <w:tcPr>
            <w:tcW w:w="2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2,620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5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2,690,448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5,372,060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related to net share settlement and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retired treasury stock in 2022</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(85,002 )</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stock under employee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703,148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related to Conversa earn-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out settlement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1,020,964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related to SilverCloud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earn-out settlement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4,959,856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stock related to SilverCloud bonus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escrow</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606,618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Receipt of Section 16(b) disgorgement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contributed by selling shareholders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of acquired businesses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8"/>
              </w:rPr>
              <w:t>American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1"/>
              </w:rPr>
              <w:t>Well</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86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Corporation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52"/>
        </w:trPr>
        <w:tc>
          <w:tcPr>
            <w:tcW w:w="10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3"/>
                <w:szCs w:val="13"/>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w:t>
            </w:r>
          </w:p>
        </w:tc>
        <w:tc>
          <w:tcPr>
            <w:tcW w:w="1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65"/>
        </w:trPr>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14"/>
                <w:szCs w:val="14"/>
                <w:color w:val="auto"/>
              </w:rPr>
            </w:pPr>
          </w:p>
        </w:tc>
      </w:tr>
      <w:tr>
        <w:trPr>
          <w:trHeight w:val="155"/>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1,841,405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297</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(582,359 )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1,224,132</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22,065</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1,246,197</w:t>
            </w:r>
          </w:p>
        </w:tc>
        <w:tc>
          <w:tcPr>
            <w:tcW w:w="40" w:type="dxa"/>
            <w:vAlign w:val="bottom"/>
          </w:tcPr>
          <w:p>
            <w:pPr>
              <w:spacing w:after="0"/>
              <w:rPr>
                <w:sz w:val="13"/>
                <w:szCs w:val="13"/>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20,814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20,880</w:t>
            </w:r>
          </w:p>
        </w:tc>
        <w:tc>
          <w:tcPr>
            <w:tcW w:w="40" w:type="dxa"/>
            <w:vAlign w:val="bottom"/>
          </w:tcPr>
          <w:p>
            <w:pPr>
              <w:spacing w:after="0"/>
              <w:rPr>
                <w:sz w:val="12"/>
                <w:szCs w:val="12"/>
                <w:color w:val="auto"/>
              </w:rPr>
            </w:pPr>
          </w:p>
        </w:tc>
      </w:tr>
      <w:tr>
        <w:trPr>
          <w:trHeight w:val="162"/>
        </w:trPr>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(75 )</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(15 )</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(37,553 )</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(15,038 )</w:t>
            </w: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(15,038 )</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(15,038 )</w:t>
            </w: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1,599</w:t>
            </w:r>
          </w:p>
        </w:tc>
        <w:tc>
          <w:tcPr>
            <w:tcW w:w="40" w:type="dxa"/>
            <w:vAlign w:val="bottom"/>
          </w:tcPr>
          <w:p>
            <w:pPr>
              <w:spacing w:after="0"/>
              <w:rPr>
                <w:sz w:val="24"/>
                <w:szCs w:val="24"/>
                <w:color w:val="auto"/>
              </w:rPr>
            </w:pPr>
          </w:p>
        </w:tc>
      </w:tr>
      <w:tr>
        <w:trPr>
          <w:trHeight w:val="162"/>
        </w:trPr>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143,979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144,107</w:t>
            </w: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43,809</w:t>
            </w:r>
          </w:p>
        </w:tc>
        <w:tc>
          <w:tcPr>
            <w:tcW w:w="40" w:type="dxa"/>
            <w:vAlign w:val="bottom"/>
          </w:tcPr>
          <w:p>
            <w:pPr>
              <w:spacing w:after="0"/>
              <w:rPr>
                <w:sz w:val="14"/>
                <w:szCs w:val="14"/>
                <w:color w:val="auto"/>
              </w:rPr>
            </w:pP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2,753</w:t>
            </w:r>
          </w:p>
        </w:tc>
        <w:tc>
          <w:tcPr>
            <w:tcW w:w="4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(85 )</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(85 )</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(85 )</w:t>
            </w:r>
          </w:p>
        </w:tc>
      </w:tr>
      <w:tr>
        <w:trPr>
          <w:trHeight w:val="162"/>
        </w:trPr>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(6,565 )</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(6,565 )</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(6,565 )</w:t>
            </w:r>
          </w:p>
        </w:tc>
      </w:tr>
      <w:tr>
        <w:trPr>
          <w:trHeight w:val="165"/>
        </w:trPr>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(176,334 )</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(176,334 )</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(448 )</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(176,782 )</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2,054,275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(6,353 )</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(811,284 )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1,239,258</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21,617</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1,260,875</w:t>
            </w:r>
          </w:p>
        </w:tc>
        <w:tc>
          <w:tcPr>
            <w:tcW w:w="40" w:type="dxa"/>
            <w:vAlign w:val="bottom"/>
          </w:tcPr>
          <w:p>
            <w:pPr>
              <w:spacing w:after="0"/>
              <w:rPr>
                <w:sz w:val="13"/>
                <w:szCs w:val="13"/>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5,666</w:t>
            </w:r>
          </w:p>
        </w:tc>
        <w:tc>
          <w:tcPr>
            <w:tcW w:w="40" w:type="dxa"/>
            <w:vAlign w:val="bottom"/>
          </w:tcPr>
          <w:p>
            <w:pPr>
              <w:spacing w:after="0"/>
              <w:rPr>
                <w:sz w:val="12"/>
                <w:szCs w:val="12"/>
                <w:color w:val="auto"/>
              </w:rPr>
            </w:pPr>
          </w:p>
        </w:tc>
      </w:tr>
      <w:tr>
        <w:trPr>
          <w:trHeight w:val="162"/>
        </w:trPr>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(53 )</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297"/>
        </w:trPr>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(44 )</w:t>
            </w: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(315 )</w:t>
            </w: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(360 )</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(360 )</w:t>
            </w: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w:t>
            </w:r>
          </w:p>
        </w:tc>
        <w:tc>
          <w:tcPr>
            <w:tcW w:w="4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4,298</w:t>
            </w:r>
          </w:p>
        </w:tc>
        <w:tc>
          <w:tcPr>
            <w:tcW w:w="4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12,895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12,945</w:t>
            </w:r>
          </w:p>
        </w:tc>
        <w:tc>
          <w:tcPr>
            <w:tcW w:w="4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69,144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69,144</w:t>
            </w:r>
          </w:p>
        </w:tc>
        <w:tc>
          <w:tcPr>
            <w:tcW w:w="40" w:type="dxa"/>
            <w:vAlign w:val="bottom"/>
          </w:tcPr>
          <w:p>
            <w:pPr>
              <w:spacing w:after="0"/>
              <w:rPr>
                <w:sz w:val="14"/>
                <w:szCs w:val="14"/>
                <w:color w:val="auto"/>
              </w:rPr>
            </w:pPr>
          </w:p>
        </w:tc>
      </w:tr>
      <w:tr>
        <w:trPr>
          <w:trHeight w:val="297"/>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40" w:type="dxa"/>
            <w:vAlign w:val="bottom"/>
          </w:tcPr>
          <w:p>
            <w:pPr>
              <w:spacing w:after="0"/>
              <w:rPr>
                <w:sz w:val="24"/>
                <w:szCs w:val="24"/>
                <w:color w:val="auto"/>
              </w:rPr>
            </w:pPr>
          </w:p>
        </w:tc>
      </w:tr>
      <w:tr>
        <w:trPr>
          <w:trHeight w:val="162"/>
        </w:trPr>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(10,616 )</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(10,616 )</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-3149600</wp:posOffset>
            </wp:positionV>
            <wp:extent cx="713232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-2943860</wp:posOffset>
            </wp:positionV>
            <wp:extent cx="713232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-2567305</wp:posOffset>
            </wp:positionV>
            <wp:extent cx="713232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-2361565</wp:posOffset>
            </wp:positionV>
            <wp:extent cx="713232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-1983740</wp:posOffset>
            </wp:positionV>
            <wp:extent cx="713232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-1538605</wp:posOffset>
            </wp:positionV>
            <wp:extent cx="713232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-1247140</wp:posOffset>
            </wp:positionV>
            <wp:extent cx="71323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-869315</wp:posOffset>
            </wp:positionV>
            <wp:extent cx="713232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-492760</wp:posOffset>
            </wp:positionV>
            <wp:extent cx="713232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-287020</wp:posOffset>
            </wp:positionV>
            <wp:extent cx="713232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-3381375</wp:posOffset>
            </wp:positionV>
            <wp:extent cx="71323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-1769745</wp:posOffset>
            </wp:positionV>
            <wp:extent cx="546036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546036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20" w:space="180"/>
            <w:col w:w="60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(270,429 )</w:t>
            </w: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(270,429 )</w:t>
            </w:r>
          </w:p>
        </w:tc>
        <w:tc>
          <w:tcPr>
            <w:tcW w:w="2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(1,643 )</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(272,072 )</w:t>
            </w:r>
          </w:p>
        </w:tc>
      </w:tr>
      <w:tr>
        <w:trPr>
          <w:trHeight w:val="20"/>
        </w:trPr>
        <w:tc>
          <w:tcPr>
            <w:tcW w:w="2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2"/>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2022</w:t>
            </w:r>
          </w:p>
        </w:tc>
        <w:tc>
          <w:tcPr>
            <w:tcW w:w="120" w:type="dxa"/>
            <w:vAlign w:val="bottom"/>
            <w:shd w:val="clear" w:color="auto" w:fill="CFF0FC"/>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277,139,679</w:t>
            </w:r>
          </w:p>
        </w:tc>
        <w:tc>
          <w:tcPr>
            <w:tcW w:w="2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2,766</w:t>
            </w:r>
          </w:p>
        </w:tc>
        <w:tc>
          <w:tcPr>
            <w:tcW w:w="24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2,160,108</w:t>
            </w:r>
          </w:p>
        </w:tc>
        <w:tc>
          <w:tcPr>
            <w:tcW w:w="220" w:type="dxa"/>
            <w:vAlign w:val="bottom"/>
          </w:tcPr>
          <w:p>
            <w:pPr>
              <w:spacing w:after="0"/>
              <w:rPr>
                <w:sz w:val="13"/>
                <w:szCs w:val="13"/>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(16,969 )</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(1,082,028 )</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1,063,877</w:t>
            </w:r>
          </w:p>
        </w:tc>
        <w:tc>
          <w:tcPr>
            <w:tcW w:w="22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19,974</w:t>
            </w:r>
          </w:p>
        </w:tc>
        <w:tc>
          <w:tcPr>
            <w:tcW w:w="220" w:type="dxa"/>
            <w:vAlign w:val="bottom"/>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1,083,851</w:t>
            </w:r>
          </w:p>
        </w:tc>
        <w:tc>
          <w:tcPr>
            <w:tcW w:w="100" w:type="dxa"/>
            <w:vAlign w:val="bottom"/>
          </w:tcPr>
          <w:p>
            <w:pPr>
              <w:spacing w:after="0"/>
              <w:rPr>
                <w:sz w:val="13"/>
                <w:szCs w:val="13"/>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286,599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100" w:type="dxa"/>
            <w:vAlign w:val="bottom"/>
            <w:shd w:val="clear" w:color="auto" w:fill="CFF0FC"/>
          </w:tcPr>
          <w:p>
            <w:pPr>
              <w:spacing w:after="0"/>
              <w:rPr>
                <w:sz w:val="12"/>
                <w:szCs w:val="12"/>
                <w:color w:val="auto"/>
              </w:rPr>
            </w:pPr>
          </w:p>
        </w:tc>
      </w:tr>
      <w:tr>
        <w:trPr>
          <w:trHeight w:val="15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10,102,894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(101 )</w:t>
            </w:r>
          </w:p>
        </w:tc>
        <w:tc>
          <w:tcPr>
            <w:tcW w:w="34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Shares repurchased and retired</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(264,987 )</w:t>
            </w: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(3 )</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(586 )</w:t>
            </w:r>
          </w:p>
        </w:tc>
        <w:tc>
          <w:tcPr>
            <w:tcW w:w="3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(586 )</w:t>
            </w:r>
          </w:p>
        </w:tc>
        <w:tc>
          <w:tcPr>
            <w:tcW w:w="2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(586 )</w:t>
            </w:r>
          </w:p>
        </w:tc>
      </w:tr>
      <w:tr>
        <w:trPr>
          <w:trHeight w:val="14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stock under employee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1,224,312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00" w:type="dxa"/>
            <w:vAlign w:val="bottom"/>
          </w:tcPr>
          <w:p>
            <w:pPr>
              <w:spacing w:after="0"/>
              <w:rPr>
                <w:sz w:val="13"/>
                <w:szCs w:val="13"/>
                <w:color w:val="auto"/>
              </w:rPr>
            </w:pPr>
          </w:p>
        </w:tc>
      </w:tr>
      <w:tr>
        <w:trPr>
          <w:trHeight w:val="165"/>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72,040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72,040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72,040</w:t>
            </w:r>
          </w:p>
        </w:tc>
        <w:tc>
          <w:tcPr>
            <w:tcW w:w="100" w:type="dxa"/>
            <w:vAlign w:val="bottom"/>
            <w:shd w:val="clear" w:color="auto" w:fill="CFF0FC"/>
          </w:tcPr>
          <w:p>
            <w:pPr>
              <w:spacing w:after="0"/>
              <w:rPr>
                <w:sz w:val="14"/>
                <w:szCs w:val="14"/>
                <w:color w:val="auto"/>
              </w:rPr>
            </w:pPr>
          </w:p>
        </w:tc>
      </w:tr>
      <w:tr>
        <w:trPr>
          <w:trHeight w:val="15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00" w:type="dxa"/>
            <w:vAlign w:val="bottom"/>
          </w:tcPr>
          <w:p>
            <w:pPr>
              <w:spacing w:after="0"/>
              <w:rPr>
                <w:sz w:val="13"/>
                <w:szCs w:val="13"/>
                <w:color w:val="auto"/>
              </w:rPr>
            </w:pPr>
          </w:p>
        </w:tc>
      </w:tr>
      <w:tr>
        <w:trPr>
          <w:trHeight w:val="162"/>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(675,164 )</w:t>
            </w:r>
          </w:p>
        </w:tc>
        <w:tc>
          <w:tcPr>
            <w:tcW w:w="3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(675,164 )</w:t>
            </w:r>
          </w:p>
        </w:tc>
        <w:tc>
          <w:tcPr>
            <w:tcW w:w="2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(4,007 )</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(679,171 )</w:t>
            </w:r>
          </w:p>
        </w:tc>
      </w:tr>
      <w:tr>
        <w:trPr>
          <w:trHeight w:val="20"/>
        </w:trPr>
        <w:tc>
          <w:tcPr>
            <w:tcW w:w="2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288,488,497</w:t>
            </w:r>
          </w:p>
        </w:tc>
        <w:tc>
          <w:tcPr>
            <w:tcW w:w="2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2,879</w:t>
            </w:r>
          </w:p>
        </w:tc>
        <w:tc>
          <w:tcPr>
            <w:tcW w:w="24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2,234,768</w:t>
            </w:r>
          </w:p>
        </w:tc>
        <w:tc>
          <w:tcPr>
            <w:tcW w:w="220" w:type="dxa"/>
            <w:vAlign w:val="bottom"/>
          </w:tcPr>
          <w:p>
            <w:pPr>
              <w:spacing w:after="0"/>
              <w:rPr>
                <w:sz w:val="13"/>
                <w:szCs w:val="13"/>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(15,650 )</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(1,757,778 )</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464,219</w:t>
            </w:r>
          </w:p>
        </w:tc>
        <w:tc>
          <w:tcPr>
            <w:tcW w:w="22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15,967</w:t>
            </w:r>
          </w:p>
        </w:tc>
        <w:tc>
          <w:tcPr>
            <w:tcW w:w="220" w:type="dxa"/>
            <w:vAlign w:val="bottom"/>
          </w:tcPr>
          <w:p>
            <w:pPr>
              <w:spacing w:after="0"/>
              <w:rPr>
                <w:sz w:val="13"/>
                <w:szCs w:val="13"/>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480,186</w:t>
            </w:r>
          </w:p>
        </w:tc>
        <w:tc>
          <w:tcPr>
            <w:tcW w:w="100" w:type="dxa"/>
            <w:vAlign w:val="bottom"/>
          </w:tcPr>
          <w:p>
            <w:pPr>
              <w:spacing w:after="0"/>
              <w:rPr>
                <w:sz w:val="13"/>
                <w:szCs w:val="13"/>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-1079500</wp:posOffset>
            </wp:positionV>
            <wp:extent cx="7683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-1079500</wp:posOffset>
            </wp:positionV>
            <wp:extent cx="7747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-1079500</wp:posOffset>
            </wp:positionV>
            <wp:extent cx="7747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-1079500</wp:posOffset>
            </wp:positionV>
            <wp:extent cx="6858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-1079500</wp:posOffset>
            </wp:positionV>
            <wp:extent cx="6858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6858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-1079500</wp:posOffset>
            </wp:positionV>
            <wp:extent cx="6858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-1079500</wp:posOffset>
            </wp:positionV>
            <wp:extent cx="6858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-136525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-136525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-136525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-136525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-136525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-136525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-136525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-136525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70"/>
        </w:trPr>
        <w:tc>
          <w:tcPr>
            <w:tcW w:w="66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5"/>
              </w:rPr>
              <w:t>(679,171 )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(272,072 )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(176,782 )</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Goodwill impairment</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436,479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31,512</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26,167</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16,089</w:t>
            </w: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Provisions for credit losses</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714</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2,261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1,684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1,971</w:t>
            </w: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contract fulfillment costs</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737</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compensation costs incurred by selling shareholders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11,139</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2,753</w:t>
            </w: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Accretion of discounts on debt securities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(10,010 )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 on debt securities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10,010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72,246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67,675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43,809</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Loss on equity method investment</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2,590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2,278</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3,132</w:t>
            </w:r>
          </w:p>
        </w:tc>
      </w:tr>
      <w:tr>
        <w:trPr>
          <w:trHeight w:val="162"/>
        </w:trPr>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(6,245 )</w:t>
            </w:r>
          </w:p>
        </w:tc>
      </w:tr>
      <w:tr>
        <w:trPr>
          <w:trHeight w:val="162"/>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Accounts receivable</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(512 )</w:t>
            </w:r>
          </w:p>
        </w:tc>
      </w:tr>
      <w:tr>
        <w:trPr>
          <w:trHeight w:val="162"/>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Inventories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2,085</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1,598</w:t>
            </w:r>
          </w:p>
        </w:tc>
      </w:tr>
      <w:tr>
        <w:trPr>
          <w:trHeight w:val="162"/>
        </w:trPr>
        <w:tc>
          <w:tcPr>
            <w:tcW w:w="6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(4,499 )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(2,771 )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(2,235 )</w:t>
            </w:r>
          </w:p>
        </w:tc>
      </w:tr>
      <w:tr>
        <w:trPr>
          <w:trHeight w:val="162"/>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4,694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(5,775 )</w:t>
            </w:r>
          </w:p>
        </w:tc>
      </w:tr>
      <w:tr>
        <w:trPr>
          <w:trHeight w:val="162"/>
        </w:trPr>
        <w:tc>
          <w:tcPr>
            <w:tcW w:w="6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Other assets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(76 )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117</w:t>
            </w:r>
          </w:p>
        </w:tc>
      </w:tr>
      <w:tr>
        <w:trPr>
          <w:trHeight w:val="162"/>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Accounts payable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(2,361 )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(4,780 )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5,546</w:t>
            </w:r>
          </w:p>
        </w:tc>
      </w:tr>
      <w:tr>
        <w:trPr>
          <w:trHeight w:val="162"/>
        </w:trPr>
        <w:tc>
          <w:tcPr>
            <w:tcW w:w="6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(15,139 )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(380 )</w:t>
            </w:r>
          </w:p>
        </w:tc>
      </w:tr>
      <w:tr>
        <w:trPr>
          <w:trHeight w:val="162"/>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(16,705 )</w:t>
            </w:r>
          </w:p>
        </w:tc>
      </w:tr>
      <w:tr>
        <w:trPr>
          <w:trHeight w:val="162"/>
        </w:trPr>
        <w:tc>
          <w:tcPr>
            <w:tcW w:w="6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Deferred revenue</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(3,459 )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(19,739 )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(9,369 )</w:t>
            </w:r>
          </w:p>
        </w:tc>
      </w:tr>
      <w:tr>
        <w:trPr>
          <w:trHeight w:val="156"/>
        </w:trPr>
        <w:tc>
          <w:tcPr>
            <w:tcW w:w="66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8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(148,343 )</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(192,323 )</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(141,537 )</w:t>
            </w:r>
          </w:p>
        </w:tc>
      </w:tr>
      <w:tr>
        <w:trPr>
          <w:trHeight w:val="15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(192 )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(559 )</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(15,056 )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(10,155 )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in less than majority owned joint venture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(3,920 )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(1,960 )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(2,548 )</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8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5"/>
              </w:rPr>
              <w:t>(389,990 )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(499,223 )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maturities of investments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389,990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500,000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100,000</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 of business, net of cash acquired</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(156,526 )</w:t>
            </w:r>
          </w:p>
        </w:tc>
      </w:tr>
      <w:tr>
        <w:trPr>
          <w:trHeight w:val="155"/>
        </w:trPr>
        <w:tc>
          <w:tcPr>
            <w:tcW w:w="66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(19,168 )</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(11,630 )</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(59,633 )</w:t>
            </w:r>
          </w:p>
        </w:tc>
      </w:tr>
      <w:tr>
        <w:trPr>
          <w:trHeight w:val="155"/>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exercise of common stock options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569</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5,740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20,806</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1,599</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for the purchase of treasury stock</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(586 )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(15,038 )</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Section 16(b) disgorgement</w:t>
            </w:r>
          </w:p>
        </w:tc>
        <w:tc>
          <w:tcPr>
            <w:tcW w:w="88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(11,790 )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deferred offering costs</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(1,613 )</w:t>
            </w:r>
          </w:p>
        </w:tc>
      </w:tr>
      <w:tr>
        <w:trPr>
          <w:trHeight w:val="155"/>
        </w:trPr>
        <w:tc>
          <w:tcPr>
            <w:tcW w:w="66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2,147</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(3,612 )</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5,754</w:t>
            </w:r>
          </w:p>
        </w:tc>
      </w:tr>
      <w:tr>
        <w:trPr>
          <w:trHeight w:val="155"/>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rates changes on cash, cash equivalents, and restricted cash</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(1,144 )</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(305 )</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(84 )</w:t>
            </w:r>
          </w:p>
        </w:tc>
      </w:tr>
      <w:tr>
        <w:trPr>
          <w:trHeight w:val="155"/>
        </w:trPr>
        <w:tc>
          <w:tcPr>
            <w:tcW w:w="6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88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5"/>
              </w:rPr>
              <w:t>(166,508 )</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(207,870 )</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(195,500 )</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539,341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747,211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942,711</w:t>
            </w:r>
          </w:p>
        </w:tc>
      </w:tr>
      <w:tr>
        <w:trPr>
          <w:trHeight w:val="15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372,833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539,341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747,211</w:t>
            </w:r>
          </w:p>
        </w:tc>
      </w:tr>
      <w:tr>
        <w:trPr>
          <w:trHeight w:val="155"/>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8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372,038</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538,546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746,416</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795</w:t>
            </w:r>
          </w:p>
        </w:tc>
      </w:tr>
      <w:tr>
        <w:trPr>
          <w:trHeight w:val="155"/>
        </w:trPr>
        <w:tc>
          <w:tcPr>
            <w:tcW w:w="6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Total cash, cash equivalents, and restricted cash at end of period</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372,833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539,341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747,211</w:t>
            </w:r>
          </w:p>
        </w:tc>
      </w:tr>
      <w:tr>
        <w:trPr>
          <w:trHeight w:val="155"/>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5,003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1,723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1,587</w:t>
            </w:r>
          </w:p>
        </w:tc>
      </w:tr>
      <w:tr>
        <w:trPr>
          <w:trHeight w:val="128"/>
        </w:trPr>
        <w:tc>
          <w:tcPr>
            <w:tcW w:w="6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7"/>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in acquisitions</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144,107</w:t>
            </w:r>
          </w:p>
        </w:tc>
      </w:tr>
      <w:tr>
        <w:trPr>
          <w:trHeight w:val="16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 settlement of earnout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17,243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Receivable related to exercise of common stock options</w:t>
            </w:r>
          </w:p>
        </w:tc>
        <w:tc>
          <w:tcPr>
            <w:tcW w:w="88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-3256915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-2416810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-2416810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-1576705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-1576705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-1139190</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-1139190</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-710565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-710565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American Well Corporation (the “Company”) was incorporated under the laws of the State of Delaware in June 2006. The Company is headquartered in Boston, Massachusetts. The Company is a leading enterprise platform and software company that enables the digital distribution and delivery of care for healthcare’s key stakeholders. The Company’s scalable technology is deployed at the enterprise level of clients, embeds into existing offerings and workflows, spans the continuum of care and enables the delivery of this care across a wide variety of clinical, retail, school and home settings.</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of a similar size in the high technology industry, including, but not limited to, uncertainty of progress in developing technologies, new technological innovations, dependence on key personnel, protection of proprietary technology, uncertainty of market acceptance of digital care and the need for additional financing.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On August 9, 2021 and August 27, 2021, the Company completed the acquisitions of Conversa Health, Inc. (“Conversa”) and SilverCloud Health Holdings, Inc. (“SilverCloud”), respectively (together, the “Acquisitions”). Conversa is a leader in automated virtual healthcare. SilverCloud is a leading digital mental health platform. See Note 8 “Business Combinations”.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Through December 31, 2023, the Company has primarily funded its operations with proceeds from the initial public offering, the sales of convertible preferred stock and revenue from clients who purchase access to the enterprise platform and software as a service. On September 21, 2020 the Company closed on the initial public offering raising $822,267 in gross proceeds. On September 21, 2020 the Company closed on a private placement with Google raising $100,000 in gross proceeds. Since inception, the Company has incurred recurring losses. As of December 31, 2023, the Company had an accumulated deficit of $1,757,778. The Company expects to continue to generate operating losses for the foreseeable future.</w:t>
      </w:r>
    </w:p>
    <w:p>
      <w:pPr>
        <w:spacing w:after="0" w:line="18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that its cash, cash equivalents and investments will be sufficient to fund its operating expenses and capital expenditure requirements for at least the next twelve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United States of America (“GAAP”) and include the accounts of American Well Corporation, its wholly-owned subsidiaries, those of professional corporations, which represent variable interest entities in which American Well has an interest and is the primary beneficiary (“PC”) (see Note 4) and National Telehealth Network (“NTN”), an entity in which American Well controls fifty percent or more of the voting shares (see Note 5). Intercompany accounts and transactions have been eliminated in consolidation.</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For consolidated entities where American Well owns or is exposed to less than 100% of the economics, the net income (loss) attributable to noncontrolling interests is recorded in the consolidated statements of operations and comprehensive loss equal to the percentage of the economic or ownership interest retained in each entity by the respective non-controlling party. The noncontrolling interests are presented as a separate component of stockholders’ deficit in the consolidated balance sheets.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reported periods. Significant estimates and assumptions reflected in these consolidated financial statements include, but are not limited to, revenue recognition, the estimated customer relationship period that is used in the amortization of deferred contract acquisition costs, the valuation of assets and liabilities acquired in business combinations, the useful lives of intangible assets, capitalization of software development costs and the valuation of share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18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Due to the COVID-19 global pandemic, the global economy and financial markets have been disrupted and there is a significant amount of uncertainty about the length and severity of the consequences caused by the pandemic. The Company has considered information available to it as of the date of issuance of these financial statements and has not experienced any significant impact to its estimates and assumptions as a result of the COVID-19 pandemic. On an ongoing basis, the Company will continue to closely monitor the COVID-19 impact on its estimates and assumptions.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determines the functional currency of each subsidiary based on the currency of the primary economic environment in which each subsidiary operates. Items included in the financial statements of such subsidiaries are measured using that functional currency.</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interest income and other income (expense), net in the consolidated statements of operations and comprehensive loss. During the years ended December 31, 2023, 2022 and 2021 the Company’s gains (losses) from foreign currency remeasurement and settlement were $(11), $(377) and $445.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makers (CODMs), its two Chief Executive Officers, review financial information presented on a consolidated basis for purposes of allocating resources and evaluating financial performance. The Company operates and manages its business as one reportable and operating segment. In addition, substantially all of the Company’s revenue and long-lived assets are attributable to operations in the United States for all periods presented.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Clients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investments and accounts receivable. The Company invests its excess cash with large financial institutions that the Company believes are of high credit quality. Cash and cash equivalents are invested in highly rated money market funds. At times the Company’s cash balances with individual banking institutions are in excess of federally insured limits. The Company’s investments are invested in U.S. government agency bonds. The Company has not experienced any losses 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1" w:name="page92"/>
    <w:bookmarkEnd w:id="91"/>
    <w:p>
      <w:pPr>
        <w:ind w:right="220"/>
        <w:spacing w:after="0" w:line="282" w:lineRule="auto"/>
        <w:rPr>
          <w:sz w:val="20"/>
          <w:szCs w:val="20"/>
          <w:color w:val="auto"/>
        </w:rPr>
      </w:pPr>
      <w:r>
        <w:rPr>
          <w:rFonts w:ascii="Times New Roman" w:cs="Times New Roman" w:eastAsia="Times New Roman" w:hAnsi="Times New Roman"/>
          <w:sz w:val="18"/>
          <w:szCs w:val="18"/>
          <w:color w:val="auto"/>
        </w:rPr>
        <w:t>its deposits of cash, cash equivalents or investments. The Company does not believe that it is subject to unusual credit risk beyond the normal credit risk associated with commercial banking relationships.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ongoing assessments and credit evaluations of its clients to assess the collectability of the accounts based on a number of factors, including past transaction experience, age of the accounts receivable, review of the invoicing terms of the contracts, and recent communication with clients. The Company has not experienced significant credit losses from its accounts receivable.</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one client accounted for 40% of outstanding accounts receivable and as of December 31, 2022 two client each accounted for 18% of outstanding accounts receivable. For the years ended December 31, 2023, 2022 and 2021, sales to one client (which was a related party during the 2021 period) represented 24%, 23% and 25% of the Company’s total revenue,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maturities of three months or less at the date of purchase to be cash equivalents.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maintained letters of credit totaling $795 and $795, respectively, for the benefit of the landlord of its leased property and performance surety bonds. The Company has classified $795 and $795 as non-current on its consolidated balance sheet as of December 31, 2023 and 2022,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with the unrealized gains and losses reported as a component of accumulated other comprehensive income (loss) in total stockholders’ equity (deficit). The Company has classified its available-for-sale investments as current assets on the consolidated balance sheet as these investments generally consist of highly marketable securities that are identified to be available to meet near-term cash requirements.</w:t>
      </w:r>
    </w:p>
    <w:p>
      <w:pPr>
        <w:spacing w:after="0" w:line="180"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Realized gains and losses and declines in value determined to be other than temporary are based on the specific identification method and are included as a component of interest income and other income (expense), net in the consolidated statements of operations and comprehensive loss.</w:t>
      </w:r>
    </w:p>
    <w:p>
      <w:pPr>
        <w:spacing w:after="0" w:line="14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investments for other-than-temporary impairment. When assessing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investment for a period of time sufficient to allow for any anticipated recovery in fair value and market conditions in general. If any adjustment to fair value reflects a decline in the value of the investment that the Company considers to be “other than temporary,” the Company reduces the investment through a charge to the consolidated statement of operations and other comprehensive income (loss). No such adjustments were necessary during the periods presented.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and 2022, there were no investments that had been in a continuous loss position for more than 12 months.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primarily consist of amounts billed currently due from clients. Accounts receivable are presented net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client collection matters, including the aging of unpaid accounts receivable and changes in client financial conditions. Account balances are written off after all means of collection are exhausted and the potential for non-recovery is determined to be probable. Adjustments to the allowance for credit losses are recorded as general and administrative expenses in the consolidated statements of operations and comprehensive loss.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all of its inventories, which consist primarily of raw material hardware components, at the lower of cost or net realizable value on a first-in, first-out basis (“FIFO”). Write-offs of potentially slow moving or damaged inventory are recorded through specific identification of obsolete or damaged material.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are recognized using the straight-line method over the useful life of the assets. Computer equipment is depreciated over three to four years. Computer software, furniture and fixtures and office equipment are depreciated over three years. Leasehold improvements are amortized over the shorter of the lease term or the estimated useful life of the related asset. Repairs and maintenance costs are expensed as incurred. When assets are sold or retired, the cost and related accumulated depreciation or amortization are removed from the accounts, with any resulting gain or loss recorded in the consolidated statements of operations and comprehensive loss.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Transaction costs related to business combinations are expensed as incurred in general and administrative expense in the consolidated statement of operations and comprehensive loss.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Determining the fair value of assets acquired and liabilities assumed, and the allocation of the purchase price requires management to use judgment and estimates with regards to the selection of valuation methodologies, especially with respect to intangible assets. Critical estimates in valuing certain identifiable assets include, but are not limited to, significant assumptions related to estimates of future revenue and cash flows, expected long-term market growth, expected revenue growth rates, future expected operating expenses, earnings before interest, taxes, depreciation and amortization margin, and discount rates. Management’s estimates of fair value are based upon assumptions believed to be reasonable, but which are inherently uncertain and unpredictable and, as a result, actual results may differ from estimates. During the measurement period, the Company may record certain adjustments to the carrying value of the assets acquired and liabilities assumed with the corresponding offset to goodwill. After the measurement period, which could last up to one year after the transaction date, all adjustments are recorded in the consolidated statements of operations and comprehensive loss.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the excess of the purchase price over the fair value of identifiable net assets acquired as goodwill. Goodwill is not amortized but is tested for impairment annually on November 30 or more frequently if events or changes in circumstances indicate that the carrying amount of the goodwill may not be recoverable. These events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as indicated by the Company’s publicly quoted share price, below our net book value. Our goodwill impairment tests are performed at the enterprise level given our single reporting unit.</w:t>
      </w:r>
    </w:p>
    <w:p>
      <w:pPr>
        <w:spacing w:after="0" w:line="18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When testing goodwill for impairment, we have the option of first performing a qualitative assessment to determine whether it is more likely than not that the fair value of our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A charge is reported as impairment of goodwill in the consolidated statements of operations and comprehensive loss. In the year ended December 31, 2023 there was a full impairment of the goodwill balance. For details associated with the Company's goodwill impairment, see Note 11 -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at fair value using generally accepted valuation methods deemed appropriate for the type of intangible asset acquired and reported net of accumulated amortization,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3" w:name="page94"/>
    <w:bookmarkEnd w:id="93"/>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separately from goodwill. Finite-lived intangible assets, which primarily consist of customer relationships, contractor relationships, technology and trade name, are stated at historical cost and amortized over the assets’ estimated useful lives. Intangible assets are re-evaluated whenever events or changes in circumstances indicate that their estimated useful lives may require revision and/or the carrying value of the related asset group may not be recoverable by its projected undiscounted cash flows. If the carrying value of the asset group is determined to be unrecoverable, an impairment charge would be recognized in an amount equal to the amount by which the carrying value of the asset group exceeds its fair value. During the year ended December 31, 2023 the Company concluded there was a triggering event and a recoverability test for intangible assets was performed. No impairment was identified as result of the recoverability test. For details associated with the Company's impairment recovery test, see Note 11 -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among others. When testing for asset impairment, the Company groups assets and liabilities at the lowest level for which cash flows are separately identifiable.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the asset’s carrying amount. The impairment loss would be based on the excess of the carrying value of the impaired asset group over its fair value. To date, the Company has not recorded any impairment losses on long-lived assets. No impairments were identified during the years ended December 31, 2023 and 2022.</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Minority Owned Joint Venture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 financial policies of CCAW, JV LsLC. Therefore, the Company accounts for its investment in CCAW, JV LLC using the equity method of accounting. The joint venture is considered a variable interest entity under ASC 810-10, but the Company is not the primary beneficiary as it does not have the power to direct the activities of the joint venture that most significantly impact its performance. The Company’s evaluation of ability to impact performance is based on Cleveland Clinic’s managing directors and Cleveland Clinic’s ability to appoint and remove the chairperson who has the ability to cast the tie breaking vote on the most significant activities.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the Company contributed $2,940 as its initial investment for a 49% interest in CCAW, JV LLC. The agreement also requires aggregate total capital contributions by the Company up to an additional $11,800 in two phases, which is yet to be defined. During the years ended December 31, 2023, 2022 and 2021 the Company made a capital contribution of $3,920, $1,960 and $2,548 related to a portion of the phase one capital commitment. For the years ended December 31, 2023, 2022 and 2021, the Company recognized a loss of $2,590, $2,278 and $3,132 as its proportionate share of the joint ventures results of operations, respectively. Accordingly, the carrying value of the equity method investment as of December 31, 2023 and 2022 was $1,180 and $(150), respectively. As the share of losses exceeds the carrying amount of the investment, the carrying amount as of December 31, 2022 it is included in the balance of accrued expenses and other current liabilities on the consolidated balance sheet.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 in the consolidated statement of operations and comprehensive loss. For the years ended December 31, 2023, 2022 and 2021, the Company’s advertising expenses were $5,508, $6,607 and $5,604,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payroll, employee benefits and other expenses associated with product development.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21" w:lineRule="exact"/>
        <w:rPr>
          <w:sz w:val="20"/>
          <w:szCs w:val="20"/>
          <w:color w:val="auto"/>
        </w:rPr>
      </w:pPr>
    </w:p>
    <w:p>
      <w:pPr>
        <w:jc w:val="both"/>
        <w:ind w:right="640"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evaluates development costs incurred to develop functionality in connection with its internal-use software for capitalization. Qualifying costs incurred to develop internal-use software are capitalized when (i) the preliminary project stage is completed, (ii) management has authorized further funding for the completion of the project and (iii) it is probable that the project will be completed and performed as intended.</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Capitalization of these costs ceases once the project is substantially complete and the software is ready for its intended purpose. Capitalized internal-use software costs are included in intangible assets on the consolidated balance sheet for the years ended December 31, 2023 and 2022. There were no impairment charges related to capitalized software development costs during 2023. Capitalized software development costs are amortized using the straight-line method over an estimated useful life of three to five years.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Generally, the Company issues stock options, restricted stock units (“RSU’s”) and performance-based market condition share awards ("PSU's") to employees. Stock options and RSUs only have service-based vesting conditions and the Company records the expense for these awards using the straight-line method. Stock option awards and restricted stock units issued to the co-CEOs prior to the IPO or as a result of the IPO (“IPO RSUs”) were expensed when granted as the requisite future service of the awards is not substantive for accounting purposes. PSUs have multiple tranches each with certain market capitalization milestones and service-based vesting conditions and the Company records the expense for these awards over the estimated life of each tranche.</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award’s recipient’s payroll costs are classified.</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restricted stock units issued to the co-CEOs as a result of the IPO had the fair value estimated using a binomial lattice approach. The Company historically had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21"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sales commissions and certain parts of the Company bonus that are incremental to the acquisition of client contracts. These costs are recorded as deferred contract acquisition costs on the consolidated balance sheets. The Company determines whether costs should be deferred based on its sales compensation plans if the commissions are in fact incremental and would not have occurred absent the client contract.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5" w:name="page96"/>
    <w:bookmarkEnd w:id="95"/>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Sales commissions are paid upon the initial acquisition of a contract and are amortized over an estimated period of benefit of five years. Amortization is recognized on a straight-line basis commensurate with the pattern of revenue recognition. The Company determined the period of benefit for commissions paid for the acquisition of initial contracts by taking into consideration the commitment term of the client contract, the nature of the Company’s technology development life cycle, and an estimated client relationship period. Amortization of deferred contract acquisition costs is included in sales and marketing expenses in the accompanying consolidated statements of operations and comprehensive loss.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reviews these deferred costs to determine whether events or changes in circumstances have occurred that could impact the period of benefit of these deferred contract acquisition costs. There were no impairment losses recorded during the periods presented.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Fulfillment Costs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costs to fulfill contracts with clients in “Prepaid expenses and other current assets” and “Other assets” on its consolidated balance sheet. The Company amortizes these costs to cost of revenue in the consolidated statement of operations and comprehensive loss consistent with the revenue recognition of the performance obligations in the associated contracts. The Company assesses these costs for impairment at the end of each reporting period. There were no impairment losses recorded during the periods presented.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the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considering taxable income in carryback years, existing taxable temporary differences, prudent and feasible tax planning strategies and estimating the future taxable profits.</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losses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shares of common stock outstanding for the period, including potential dilutive common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6" w:name="page97"/>
    <w:bookmarkEnd w:id="96"/>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contractually does not require the holders of such shares to participate in losses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as their effect is anti-dilutive. The Company reported a net loss attributable to common stockholders for the years ended December 31, 2023, 2022 and 2021.</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Platform subscription</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generates revenue primarily from contracts with clients who purchase subscriptions to access the Company’s enterprise platform and software as a service which includes access to the Company’s affiliated medical group.</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clients do not have the right to take possession of the Company’s software operating its digital care platform at any time. Instead, clients are granted access to the Company’s platform over the contractual period. Access to the platform, including the stand ready obligation to provide access to the affiliated medical group, represents a series of distinct services as the Company continually provides access to and fulfills its obligation to the client over the contract term.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clients who purchase access to the enterprise platform and software as a service (the “Amwell Platform”), the Company hosts a dedicated instance of the Amwell Platform, white-labeled under the client’s own name, branding, and with customized workflows and operating choices. The implementation services for the Amwell Platform are not distinct within the context of the contract because the Company’s promise to perform the implementation services are not separately identifiable from the access to the Amwell Platform. The implementation services, which customize the client’s Amwell Platform, are integral to the client’s ability to derive its intended benefit from the Amwell Platform. The development and implementation services generally span several months and cannot be performed by another entity. Therefore, access to the Amwell Platform and the implementation services are bundled together and represent a single performance obligation. The fixed consideration related to the single performance obligation is generally recognized on a straight-line basis over the contract term beginning on the date access to the Amwell Platform is provided. The Company uses a time-elapsed method to measure progress because the Company transfers control evenly over the contractual period.</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Clients can also purchase access to the Company’s co-branded digital care practice hosted on the Company’s shared services platform (the “Amwell Practice”). The implementation services for the Amwell Practice do not significantly modify or customize the Amwell Practice, typically occur over a few days, and can be performed by other entities. Therefore, access to the Amwell Practice and the implementation services are separate outputs promised by the Company and represent two distinct performance obligations.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Clients may be billed prior to the related goods or services being transferred to the client. In determining the transaction price, the Company adjusts the promised amount of consideration for a significant financing component if the timing of payments agreed to by the parties in the contract provide the client a significant benefit of financing. The Company has applied the practical expedient and recognizes the promised amount of consideration without adjusting for the effects of a significant financing component if the Company expects, at contract inception, that the period between the transfer of goods or services to the client when the client pays for that good or service will be one year or less. As of December 31, 2023, the effect of the financing component is not significant and does not materially change the amount of revenue that would be recognized under a contract.</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total fixed consideration is allocated to each distinct performance obligation based on standalone selling price (“SSP”) which reflects the amount that the Company charges for each performance obligation if it was sold separately in a standalone sale. The fixed consideration to access the Amwell Practice is recognized on a straight-line basis over the contract term beginning on the date access to the Amwell Practice is provided. A time-elapsed method is used to measure progress because the Company transfers control evenly over the contractual period. The fixed consideration related to the implementation services is recognized as the services are performed.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97" w:name="page98"/>
    <w:bookmarkEnd w:id="97"/>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fixed consideration received from the Amwell Platform and Amwell Practice, the Company can also receive variable consideration based on the number of members serviced (that is, a stated fee per member per month). The Company allocates the per member per month variable consideration to the month that the fee is earned, correlating with the amount of services it is providing, which is consistent with the allocation objective of the series guidance. Revenue recognized from the per member per month variable consideration does not represent a significant portion of total revenue for the years ended December 31, 2023, 2022 and 2021.</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Some contracts with clients contain a renewal option which allows the client to continue access to the Amwell Platform for a stated price after the initial contractual term has ended. These renewal options are evaluated on a case-by-case basis but generally do not provide a material right as they are priced at or above the price for the same service that the Company offers to similar clients and, as such, would not result in a separate performance obligation.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Visits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also generates revenue when either the Amwell Platform or the Amwell Practice is utilized to conduct a medical visit. In the event of a visit, the fee that is earned upon completion of the visit is allocated to the specific day of performance, as the visit fee meets the criteria to allocate variable consideration to a distinct service within a series of distinct services that comprise the single performance obligation. Therefore, visit fees are recognized when the visits are completed, and the Company has delivered on its stand-ready obligation to provide access to the medical professional.</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clients can visit with the Company’s affiliated medical group without purchasing access to an Amwell Platform or Amwell Practice. These direct-to-consumer virtual care visits are available through the Company’s website where clients can conduct a visit with the Company’s affiliated medical group for a fixed fee. The Company’s affiliated medical group is responsible for fulfilling the promise to the client to perform the medical visit. The Company has discretion in establishing the price for the visit, is responsible for the resolution of any client issues, and is exposed to credit risk for the receivable due from the client. Therefore, the Company recognizes the visit fee on a gross basis upon completion of the visit.</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revenue primarily represents professional services associated with the Amwell Platform. After implementation of the Amwell Platform has been completed, some clients purchase other professional services, which are designed to help clients enhance their ability to use the Amwell Platform. For the majority of arrangements, the Company prices these professional services on a time and material basis, has standalone selling price for these services, and recognizes revenue as services are performed. Other revenue also includes sale of hardware products, such as the Company’s digital care carts and kiosks. Revenue from the sale of hardware products to clients is recognized upon the transfer of control, which occurs upon shipment of the product.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recognized. Deferred revenue is recognized as revenue as the related performance obligations are satisfied. Deferred revenue that will be recognized during the succeeding twelve-month period is recorded as a current liability and the remaining portion is recorded as a noncurrent liability on the consolidated balance sheet.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Company’s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ind w:firstLine="55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which requires that an entity (acquirer) recognize and measure contract assets and contract liabilities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business combination in accordance with Topic 606.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guidance was adopted effective July 1, 2021 and impacted the accounting of acquired deferred revenue for the Conversa and SilverCloud acquisitions that occurred in August 2021.</w:t>
      </w:r>
    </w:p>
    <w:p>
      <w:pPr>
        <w:spacing w:after="0" w:line="183"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includes amendments to improve reportable segment disclosures. For public entities that are Securities and Exchange Commission filers, ASU 2023-07 is effective for annual periods beginning after December 15, 2023, and interim periods beginning after December 15, 2024. Early adoption is permitted. The adoption is not expected to have a material effect on the Company’s consolidated financial statements.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includes amendments to improve income tax disclosures primarily related to the rate reconciliation and income taxes paid information. For public entities that are Securities and Exchange Commission filers, ASU 2003-09 is effective for annual periods beginning after December 15, 2024. Early adoption is permitted. The adoption is not expected to have a material effect on the Company’s consolidated financial statements.</w:t>
      </w:r>
    </w:p>
    <w:p>
      <w:pPr>
        <w:spacing w:after="0" w:line="200" w:lineRule="exact"/>
        <w:rPr>
          <w:sz w:val="20"/>
          <w:szCs w:val="20"/>
          <w:color w:val="auto"/>
        </w:rPr>
      </w:pPr>
    </w:p>
    <w:p>
      <w:pPr>
        <w:spacing w:after="0" w:line="329" w:lineRule="exact"/>
        <w:rPr>
          <w:sz w:val="20"/>
          <w:szCs w:val="20"/>
          <w:color w:val="auto"/>
        </w:rPr>
      </w:pPr>
    </w:p>
    <w:p>
      <w:pPr>
        <w:ind w:left="520" w:right="8600" w:hanging="512"/>
        <w:spacing w:after="0" w:line="378" w:lineRule="auto"/>
        <w:tabs>
          <w:tab w:leader="none" w:pos="19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and Deferred Revenue </w:t>
      </w:r>
      <w:r>
        <w:rPr>
          <w:rFonts w:ascii="Times New Roman" w:cs="Times New Roman" w:eastAsia="Times New Roman" w:hAnsi="Times New Roman"/>
          <w:sz w:val="18"/>
          <w:szCs w:val="18"/>
          <w:b w:val="1"/>
          <w:bCs w:val="1"/>
          <w:i w:val="1"/>
          <w:iCs w:val="1"/>
          <w:color w:val="auto"/>
        </w:rPr>
        <w:t>Revenue</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subscription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112,361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120,919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108,254</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Visits</w:t>
            </w:r>
          </w:p>
        </w:tc>
        <w:tc>
          <w:tcPr>
            <w:tcW w:w="24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119,485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116,617</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27,201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31,921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27,918</w:t>
            </w: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259,047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277,190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252,789</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has rights to consideration for services completed but not billed at the reporting date. Unbilled receivables are classified as receivables when the Company has the right to invoice the client. Unbilled receivables as of December 31, 2023 and December 31, 2022 is $5,500 and $3,566, respectively, and has been included within accounts receivable on the consolidated balance sheet.</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billings in advance of performance under the contract. Such amounts are recognized as revenue over the contractual period. For the years ended December 31, 2023, 2022 and 2021,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9" w:name="page100"/>
    <w:bookmarkEnd w:id="99"/>
    <w:p>
      <w:pPr>
        <w:ind w:right="520"/>
        <w:spacing w:after="0" w:line="282" w:lineRule="auto"/>
        <w:rPr>
          <w:sz w:val="20"/>
          <w:szCs w:val="20"/>
          <w:color w:val="auto"/>
        </w:rPr>
      </w:pPr>
      <w:r>
        <w:rPr>
          <w:rFonts w:ascii="Times New Roman" w:cs="Times New Roman" w:eastAsia="Times New Roman" w:hAnsi="Times New Roman"/>
          <w:sz w:val="18"/>
          <w:szCs w:val="18"/>
          <w:color w:val="auto"/>
        </w:rPr>
        <w:t>Company recognized revenue of $40,595, $56,595, and $56,473, respectively, that was included in the corresponding contract liability balance at the beginning of the periods presented.</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clients based upon contractual billing schedules. The Company typically invoices its clients annually in advance for their annual software access fee. The Company records accounts receivable when the right to consideration becomes unconditional. Payment terms on invoiced amounts are typically net 30 days.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changes in the Company’s deferred revenue balance for the years ended December 31, 2023, 2022 and 2021:</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 beginning of the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55,794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75,896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74,800</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124,091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106,330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123,717</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(127,429 )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(126,432 )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(122,621 )</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end of the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52,456</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55,794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75,896</w:t>
            </w:r>
          </w:p>
        </w:tc>
      </w:tr>
      <w:tr>
        <w:trPr>
          <w:trHeight w:val="24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deferred revenue</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46,365</w:t>
            </w: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49,505</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68,841</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6,091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6,289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7,055</w:t>
            </w: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52,456</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55,794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75,896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-668020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-668020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aggregate amount of the transaction price allocated to remaining performance obligations was $217,736 and $166,855, respectively. The substantial majority of the unsatisfied performance obligations will be satisfied over the next three years. As it pertains to the December 31, 2023 amount, the Company expects to recognize 49% of the transaction price in the year ending December 31, 2024 in its consolidated statement of operations and comprehensive loss with the remainder recognized thereafter.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Variable Interest Entities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provides services pursuant to contracts with PCs which in turn contracts with physicians to provide virtual care medical services. The PC’s collectively represent the Company’s affiliated medical group. The PCs were designed and structured to comply with the relevant laws and regulations governing professional medical practice, which generally prohibits the practice of medicine by lay persons or entities. To satisfy these regulatory requirements, all of the issued and outstanding equity interests of the PCs are owned by a licensed medical professional nominated by the Company (the “Nominee Shareholder”). Upon formation of the PCs, and initial issuance of equity interests, the Nominee Shareholder contributes a nominal amount of capital in exchange for their interest in the PC. The Company then executes with each PC a Business Support Agreement (“BSA”), which provide for various administrative and management services to be provided by the Company to the PC, and a Stock Transfer Agreement (“STA”), which provide for transition of ownership of the PCs.</w:t>
      </w:r>
    </w:p>
    <w:p>
      <w:pPr>
        <w:spacing w:after="0" w:line="19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provides all of the necessary capital for the operations of the PCs through loans to the PCs. The Company also has exclusive responsibility for the provision of all nonmedical services including contracting with clients who access the PCs for a medical visit, handling all financial transactions and day-to-day operations of each PC, overseeing the establishment of virtual care policies and protocol, and making recommendations to the PC in establishing the guidelines for the employment and compensation of the physicians and other employees of the PCs. In addition, the STA provides that the Company’s Board of Directors has the power and authority to change the Nominee Shareholder at any time for any reason, and designate a new Nominee Shareholder who will purchase the equity interests from the predecessor Nominee Shareholder for the same nominal amount, effectively limiting the Nominee Shareholder’s rights to returns of the PC. The Nominee Shareholders, notwithstanding their legal form of ownership of equity interests in the PC, have no substantive profit-sharing rights in the PCs.</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Based upon the provisions of these agreements, the Company determined that the PCs are variable interest entities due to its equity holder having insufficient capital at risk, and the Company has a variable interest in the PCs. The Company consolidated the PCs under the VIE model since the Company has the power to direct activities that most significantly impact the PCs economic performance and the right to receive benefits or the obligation to absorb losses that could potentially be significant to the PCs.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Furthermore, as a direct result of nominal initial equity contributions by the Nominee Shareholder, the financial support the Company provides to the PCs (e.g. loans) and the provisions of the STA, the interests held by noncontrolling interest holders lack economic substance and do not provide them with the ability to participate in the residual profits or losses generated by the PCs. Therefore, all income and expenses recognized by the PCs are allocated to the Company’s stockholders.</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aggregate carrying value of total assets and total liabilities included on the consolidated balance sheets for the PCs after elimination of intercompany transactions were $33,842 and $1,803, respectively, as of December 31, 2023 and $31,189 and $1,648, respectively as of December 31, 2022.</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Total revenue included on the consolidated statements of operations and comprehensive loss for the PCs after elimination of intercompany transactions was $72,349, $74,389 and $72,125 for the years ended December 31, 2023, 2022 and 2021, respectively. Net loss included on the consolidated statements of operations and comprehensive was not material for the years ended December 31, 2023,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National Telehealth Network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2012, the Company and an affiliate of Elevance Health, Inc. formed NTN to expand the availability and adoption of telemedicine. The Company did not have a controlling financial interest in NTN, but it had the ability to exercise significance influence over the operating and financial policies of NTN. Therefore, the Company accounted for its investment in NTN using the equity method of accounting through December 31, 2015.</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January 1, 2016, the Company made an additional investment in NTN, which increased its ownership percentage above 50%. The Company also obtained the right to elect the Chairman of NTN who has the ability to cast the tie-breaking vote in all decisions. Therefore, on January 1, 2016, the Company obtained control over NTN and has the power to direct the activities that most significantly impact NTN’s economic performance. This step-acquisition was accounted for as a business combination and the results of the operations of NTN from January 1, 2016, have been included in the Company’s consolidated financial statements. However, because the Company owns less than 100% of NTN, the Company recognizes net income (loss) attributable to non-controlling interest in the consolidated statements of operations and comprehensive loss equal to the percentage of the ownership interest retained in NTN by the respective non-controlling party.</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proportionate share of the loss attributed to the non-controlling interest amounted to $4,007, $1,643 and $448 for the years ended December 31, 2023, 2022 and 2021, respectively. The carrying value of the non-controlling interest was $15,967, $19,974 and $21,617 as of December 31, 2023,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1" w:name="page102"/>
    <w:bookmarkEnd w:id="101"/>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presents the Company’s fair value hierarchy for its assets and liabilities that are measured at fair value on a recurring basis and indicate the level within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2"/>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3"/>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2"/>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445,856</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445,856</w:t>
            </w: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445,856</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445,856</w:t>
            </w: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-925195</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-925195</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-925195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cash equivalents were invested in money market funds and were valued based on Level 1 inputs. During the years ended December 31, 2023 and 2022, there were no transfers between Level 1, Level 2 and Level 3.</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classified its net liability for contingent earnout considerations relating to the Acquisitions within Level 3 of the fair value hierarchy because the fair value is determined using significant unobservable inputs, which included the Monte Carlo method that uses key assumptions to model future revenue and costs of goods sold projections. A description of the Acquisitions is included within Note 8. The contingent earnout payments for each acquisition are based on the achievement of certain revenue and integration thresholds.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Earned amount issued to shareholders in Class A Common Stock</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(17,243 )</w:t>
            </w:r>
          </w:p>
        </w:tc>
        <w:tc>
          <w:tcPr>
            <w:tcW w:w="0" w:type="dxa"/>
            <w:vAlign w:val="bottom"/>
          </w:tcPr>
          <w:p>
            <w:pPr>
              <w:spacing w:after="0"/>
              <w:rPr>
                <w:sz w:val="1"/>
                <w:szCs w:val="1"/>
                <w:color w:val="auto"/>
              </w:rPr>
            </w:pPr>
          </w:p>
        </w:tc>
      </w:tr>
      <w:tr>
        <w:trPr>
          <w:trHeight w:val="234"/>
        </w:trPr>
        <w:tc>
          <w:tcPr>
            <w:tcW w:w="6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CFF0FC"/>
            </w:tcBorders>
          </w:tcPr>
          <w:p>
            <w:pPr>
              <w:spacing w:after="0"/>
              <w:rPr>
                <w:sz w:val="20"/>
                <w:szCs w:val="20"/>
                <w:color w:val="auto"/>
              </w:rPr>
            </w:pPr>
          </w:p>
        </w:tc>
        <w:tc>
          <w:tcPr>
            <w:tcW w:w="6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Allowance for Credit Losses</w:t>
            </w: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beginning of the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1,884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1,809</w:t>
            </w: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20"/>
                <w:szCs w:val="20"/>
                <w:color w:val="auto"/>
              </w:rPr>
            </w:pP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end of the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2,291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1,884</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-1807845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Combinations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August 27, 2021, the Company completed the acquisition of SilverCloud through a merger in which SilverCloud became a wholly-owned subsidiary of the Company. The cash consideration paid was $105,195 net of cash acquired of $12,239. The stock consideration was comprised of 8.1 million shares of the Company’s Class A common stock valued at $85,571, and escrow share consideration of $6,376. SilverCloud is a leading digital mental health platform. The Company is obligated to pay an earn-out of up to $40,000 contingent upon SilverCloud achieving certain revenue thresholds for the year ending December 31, 2022. The Company estimated the fair value of the contingent consideration as of the acquisition date to be $29,360. The contingent consideration is subject to remeasurement at each reporting date until December 31, 2022, with the remeasurement adjustment reported in the consolidated statement of operations and comprehensive loss. The Company signed an amendment to the agreement accelerating the determination of the SilverCloud revenue earn-out as of May 11, 2022, which resulted in the issuance of 4,959,856 shares of Class A Common Stock. The acquisition was considered a stock acquisition for tax purposes and accordingly, the goodwill resulting from this acquisition is not tax deductible. The total acquisition related costs were $4,854 which included transaction costs from financial and legal advisors and other transaction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ind w:right="140"/>
        <w:spacing w:after="0" w:line="282" w:lineRule="auto"/>
        <w:rPr>
          <w:sz w:val="20"/>
          <w:szCs w:val="20"/>
          <w:color w:val="auto"/>
        </w:rPr>
      </w:pPr>
      <w:r>
        <w:rPr>
          <w:rFonts w:ascii="Times New Roman" w:cs="Times New Roman" w:eastAsia="Times New Roman" w:hAnsi="Times New Roman"/>
          <w:sz w:val="18"/>
          <w:szCs w:val="18"/>
          <w:color w:val="auto"/>
        </w:rPr>
        <w:t>related fees and were recognized as incurred in the Company’s consolidated statement of operations and comprehensive loss in general and administrative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August 9, 2021, the Company completed the acquisition of Conversa through a merger in which Conversa became a wholly-owned subsidiary of the Company. The cash consideration paid was $51,331 net of cash acquired of $9,735. The stock consideration was comprised of 4.7 million shares of the Company’s Class A common stock valued at $52,160. Conversa is a leader in automated virtual healthcare. The Company is obligated to pay an earn-out of up to $30,000 contingent upon Conversa achieving certain integration thresholds in the first quarter of 2022, and certain revenue thresholds for the year ending December 31, 2022. The Company estimated the fair value of the contingent consideration as of the acquisition date to be $15,230. The contingent consideration is subject to remeasurement at each reporting date until December 31, 2022, with the remeasurement adjustment reported in the consolidated statement of operations and comprehensive loss. The integration milestone was achieved in December 2021 and $15,000 was paid in January 2022. The Company signed an amendment to the agreement accelerating the determination of the Conversa revenue earn-out as of March 31, 2022, which resulted in the issuance of 1,020,964 shares of Class A Common Stock. The acquisition was considered a stock acquisition for tax purposes and accordingly, the goodwill resulting from this acquisition is not tax deductible. The total acquisition related costs were $2,435 which included transaction costs from financial and legal advisors and other transaction related fees and were recognized as incurred in the Company’s consolidated statement of operations and comprehensive loss in general and administrative expenses.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Acquisitions were accounted for using the acquisition method of accounting, which requires, among other things, the assets acquired and the liabilities assumed be recognized at their fair values as of the acquisition date. The results of the Acquisitions were integrated within the consolidated financial statements commencing on the aforementioned acquisition dates. Actual revenue and losses of the Acquisitions since the acquisition date as well as pro forma combined results of operations for the Acquisition have not been presented because the effect of the Acquisitions were not material to the Company’s consolidated financial results for the periods presented.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summarizes the fair value estimates of the assets acquired and liabilities assumed for the SilverCloud and Conversa acquisitions at the respective acquisition dates. The Company, with the assistance of a third-party valuation expert, estimated the fair value of the acquired tangible and intangible assets with significant estimates such as revenue projections. In the year ended December 31, 2021, the Company recorded a $2,825 increase and a $1,268 decrease to goodwill related to the assessment of the tax attributes of the business combinations for SilverCloud and Conversa, respectively. In addition, the Company recorded a $9 and $66 decrease to goodwill with the finalization of the net working capital adjustment for SilverCloud and Conversa, respectively. In the third quarter of 2022, the Company recorded a $522 decrease in goodwill related to the assessment of the tax attributes of the business combination for SilverCloud. The allocation of the consideration transferred to the assets acquired and liabilities assumed for the Acquisitions is final.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Identifiable assets acquired and liabilities assumed: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SilverCloud</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Conversa Health</w:t>
            </w:r>
          </w:p>
        </w:tc>
      </w:tr>
      <w:tr>
        <w:trPr>
          <w:trHeight w:val="22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consideration:</w:t>
            </w:r>
          </w:p>
        </w:tc>
        <w:tc>
          <w:tcPr>
            <w:tcW w:w="1760" w:type="dxa"/>
            <w:vAlign w:val="bottom"/>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2"/>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3420" w:type="dxa"/>
            <w:vAlign w:val="bottom"/>
            <w:gridSpan w:val="2"/>
            <w:shd w:val="clear" w:color="auto" w:fill="CFF0FC"/>
          </w:tcPr>
          <w:p>
            <w:pPr>
              <w:jc w:val="right"/>
              <w:ind w:right="14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105,195</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51,331</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consideration</w:t>
            </w: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85,571</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52,160</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15,230</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share consideration</w:t>
            </w: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17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(300 )</w:t>
            </w:r>
          </w:p>
        </w:tc>
        <w:tc>
          <w:tcPr>
            <w:tcW w:w="40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r>
      <w:tr>
        <w:trPr>
          <w:trHeight w:val="232"/>
        </w:trPr>
        <w:tc>
          <w:tcPr>
            <w:tcW w:w="42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760" w:type="dxa"/>
            <w:vAlign w:val="bottom"/>
            <w:tcBorders>
              <w:top w:val="single" w:sz="8" w:color="CFF0FC"/>
            </w:tcBorders>
          </w:tcPr>
          <w:p>
            <w:pPr>
              <w:spacing w:after="0"/>
              <w:rPr>
                <w:sz w:val="20"/>
                <w:szCs w:val="20"/>
                <w:color w:val="auto"/>
              </w:rPr>
            </w:pPr>
          </w:p>
        </w:tc>
        <w:tc>
          <w:tcPr>
            <w:tcW w:w="1660" w:type="dxa"/>
            <w:vAlign w:val="bottom"/>
            <w:tcBorders>
              <w:top w:val="single" w:sz="8" w:color="auto"/>
            </w:tcBorders>
          </w:tcPr>
          <w:p>
            <w:pPr>
              <w:jc w:val="right"/>
              <w:ind w:right="14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226,202</w:t>
            </w:r>
          </w:p>
        </w:tc>
        <w:tc>
          <w:tcPr>
            <w:tcW w:w="3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118,594</w:t>
            </w:r>
          </w:p>
        </w:tc>
        <w:tc>
          <w:tcPr>
            <w:tcW w:w="100" w:type="dxa"/>
            <w:vAlign w:val="bottom"/>
            <w:tcBorders>
              <w:top w:val="single" w:sz="8" w:color="CFF0FC"/>
            </w:tcBorders>
          </w:tcPr>
          <w:p>
            <w:pPr>
              <w:spacing w:after="0"/>
              <w:rPr>
                <w:sz w:val="20"/>
                <w:szCs w:val="20"/>
                <w:color w:val="auto"/>
              </w:rPr>
            </w:pPr>
          </w:p>
        </w:tc>
      </w:tr>
      <w:tr>
        <w:trPr>
          <w:trHeight w:val="252"/>
        </w:trPr>
        <w:tc>
          <w:tcPr>
            <w:tcW w:w="4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Allocation of Consideration transferred:</w:t>
            </w:r>
          </w:p>
        </w:tc>
        <w:tc>
          <w:tcPr>
            <w:tcW w:w="17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420" w:type="dxa"/>
            <w:vAlign w:val="bottom"/>
            <w:gridSpan w:val="2"/>
          </w:tcPr>
          <w:p>
            <w:pPr>
              <w:jc w:val="right"/>
              <w:ind w:right="14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3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7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78,146</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20"/>
                <w:szCs w:val="20"/>
                <w:color w:val="auto"/>
              </w:rPr>
            </w:pPr>
          </w:p>
        </w:tc>
      </w:tr>
      <w:tr>
        <w:trPr>
          <w:trHeight w:val="241"/>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 acquired</w:t>
            </w:r>
          </w:p>
        </w:tc>
        <w:tc>
          <w:tcPr>
            <w:tcW w:w="17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81,267</w:t>
            </w: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42,955</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7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37"/>
        </w:trPr>
        <w:tc>
          <w:tcPr>
            <w:tcW w:w="4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76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3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Pr>
          <w:p>
            <w:pPr>
              <w:spacing w:after="0"/>
              <w:rPr>
                <w:sz w:val="20"/>
                <w:szCs w:val="20"/>
                <w:color w:val="auto"/>
              </w:rPr>
            </w:pPr>
          </w:p>
        </w:tc>
        <w:tc>
          <w:tcPr>
            <w:tcW w:w="1660" w:type="dxa"/>
            <w:vAlign w:val="bottom"/>
            <w:tcBorders>
              <w:bottom w:val="single" w:sz="8" w:color="auto"/>
            </w:tcBorders>
          </w:tcPr>
          <w:p>
            <w:pPr>
              <w:jc w:val="right"/>
              <w:ind w:right="14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163,938</w:t>
            </w:r>
          </w:p>
        </w:tc>
        <w:tc>
          <w:tcPr>
            <w:tcW w:w="34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88,872</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14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226,202</w:t>
            </w: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4280" w:type="dxa"/>
            <w:vAlign w:val="bottom"/>
          </w:tcPr>
          <w:p>
            <w:pPr>
              <w:spacing w:after="0"/>
              <w:rPr>
                <w:sz w:val="24"/>
                <w:szCs w:val="24"/>
                <w:color w:val="auto"/>
              </w:rPr>
            </w:pPr>
          </w:p>
        </w:tc>
        <w:tc>
          <w:tcPr>
            <w:tcW w:w="3420" w:type="dxa"/>
            <w:vAlign w:val="bottom"/>
            <w:gridSpan w:val="2"/>
          </w:tcPr>
          <w:p>
            <w:pPr>
              <w:jc w:val="right"/>
              <w:ind w:right="1815"/>
              <w:spacing w:after="0"/>
              <w:rPr>
                <w:sz w:val="20"/>
                <w:szCs w:val="20"/>
                <w:color w:val="auto"/>
              </w:rPr>
            </w:pPr>
            <w:r>
              <w:rPr>
                <w:rFonts w:ascii="Times New Roman" w:cs="Times New Roman" w:eastAsia="Times New Roman" w:hAnsi="Times New Roman"/>
                <w:sz w:val="18"/>
                <w:szCs w:val="18"/>
                <w:color w:val="auto"/>
              </w:rPr>
              <w:t>F-21</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-2990850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-1268095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amount allocated to goodwill reflects the benefits the Company expects to realize from post-acquisition cross selling opportunities from integrating customer relationships and from the growth of the respective acquisitions’ operations.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are the identifiable intangible assets acquired in the Acquisitions and their respective weighted average useful lives, as determined based on initial valuations. The estimated fair value of the Technology and Tradename was determined using a relief from royalty method and the estimated fair value of the Customer relationships was determined using the excess earnings method: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SilverCloud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Conversa Health</w:t>
            </w:r>
          </w:p>
        </w:tc>
        <w:tc>
          <w:tcPr>
            <w:tcW w:w="26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34,996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Tradename</w:t>
            </w:r>
          </w:p>
        </w:tc>
        <w:tc>
          <w:tcPr>
            <w:tcW w:w="1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2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32,350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78,146</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-156845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-156845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Contract Acquisition and Contract Fulfillment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deferred contract acquisition costs: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4,788</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acquisition costs</w:t>
            </w:r>
          </w:p>
        </w:tc>
        <w:tc>
          <w:tcPr>
            <w:tcW w:w="2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52"/>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(1,683 )</w:t>
            </w: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1"/>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7,054</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4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4,792</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3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7,054</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deferred contract acquisition costs for the years ended December 31, 2023, 2022 and 2021 was $2,266, $1,683 and $1,971,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deferred contract fulfillment costs: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1,281</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fulfillment costs</w:t>
            </w:r>
          </w:p>
        </w:tc>
        <w:tc>
          <w:tcPr>
            <w:tcW w:w="2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fulfillment costs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contract fulfillment costs, current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309</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fulfillment costs, noncurrent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76"/>
        </w:trPr>
        <w:tc>
          <w:tcPr>
            <w:tcW w:w="5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-659765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deferred contract fulfillment costs for the years ended December 31, 2023, 2022 and 2021 was $432, $620 and $737,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1"/>
        </w:trPr>
        <w:tc>
          <w:tcPr>
            <w:tcW w:w="5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(12,168 )</w:t>
            </w:r>
          </w:p>
        </w:tc>
      </w:tr>
      <w:tr>
        <w:trPr>
          <w:trHeight w:val="277"/>
        </w:trPr>
        <w:tc>
          <w:tcPr>
            <w:tcW w:w="5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right="340" w:firstLine="509"/>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related to property and equipment was $631, $1,515 and $2,160 for the years ended December 31, 2023, 2022 and 2021, respectively. During the year ended December 31, 2022 the Company disposed of fully depreciated assets with a gross value of $1,139.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consisted of the following as of:</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435,279</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442,761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w:t>
            </w: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(436,479 )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(6,960 )</w:t>
            </w:r>
          </w:p>
        </w:tc>
      </w:tr>
      <w:tr>
        <w:trPr>
          <w:trHeight w:val="241"/>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435,279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experienced a triggering event, due to sustained decreases in the Company's publicly quoted share price and market capitalization, prompting impairment assessments of goodwill and long-lived assets including definite-lived intangibles. As such, the Company assessed the definite-lived intangible assets or other long-lived assets for impairment by performing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The assessment did not result in an impairment of definite-lived intangible assets or other long-lived assets, as they passed the recoverability test. No triggering events were identified in the fourth quarter of 2023.</w:t>
      </w:r>
    </w:p>
    <w:p>
      <w:pPr>
        <w:spacing w:after="0" w:line="18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also identified indicators of goodwill impairment for the single reporting unit which required an interim goodwill impairment assessment in each of the three quarters. In performing the quantitative assessment of goodwill, our reporting unit’s carrying amount exceeded its fair value. The Company estimated the reporting unit's fair value based on its market capitalization and a related control premium of 30% (amount paid by a new controlling shareholder for the benefits resulting from synergies and other potential benefits derived from controlling the acquired company). The Company evaluates the implied control premium or discount by comparing it to control premiums or discounts of recent comparable market transactions, as applicable. As a result of the interim quantitative impairment assessments, the Company recorded $436,479 non-deductible, of non-cash goodwill impairment charges for the year ended December 31, 2023. The goodwill balance as of December 31, 2023 is $0.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as of:</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80,558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47,449</w:t>
            </w: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Contractor relationships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206</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8,914</w:t>
            </w: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90,204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44,722</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25,210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52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210,810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(90,562 )</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120,248</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80,168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(24,919 )</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55,249</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Contractor relationships</w:t>
            </w:r>
          </w:p>
        </w:tc>
        <w:tc>
          <w:tcPr>
            <w:tcW w:w="1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247</w:t>
            </w: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14,012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10,962</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89,262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58,367</w:t>
            </w: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10,155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10,155</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194,132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(59,152 )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134,980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-1696720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-1679575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-1696720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-1679575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-1696720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-1679575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capitalized $15,056 of costs during the year ended December 31, 2023, related to internally developed software to be sold as a service incurred during the application development stage and is amortizing these costs over the expected lives of the related technology. Amortization expense related to intangible assets for the years ended December 31, 2023, 2022 and 2021 was $30,861, $24,638 and $13,929,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Estimated future amortization expense of the identified intangible assets as of December 31, 2023, is as follows:</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33,007</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120,248</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Accrued Expenses</w:t>
            </w: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920" w:type="dxa"/>
            <w:vAlign w:val="bottom"/>
            <w:gridSpan w:val="3"/>
            <w:vMerge w:val="continue"/>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15,573</w:t>
            </w:r>
          </w:p>
        </w:tc>
        <w:tc>
          <w:tcPr>
            <w:tcW w:w="740" w:type="dxa"/>
            <w:vAlign w:val="bottom"/>
            <w:tcBorders>
              <w:right w:val="single" w:sz="8" w:color="CFF0FC"/>
            </w:tcBorders>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26,192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3,838</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10,190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Provider services</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7,437</w:t>
            </w:r>
          </w:p>
        </w:tc>
        <w:tc>
          <w:tcPr>
            <w:tcW w:w="14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12,140</w:t>
            </w: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38,988</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right w:val="single" w:sz="8" w:color="CFF0FC"/>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54,258</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F-24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-933450</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-916305</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IPO in September 2020, we filed an Amended and Restated Certificate of Incorporation which authorizes the issuance of 100,000,000 shares of undesignated preferred stock, par value of $0.01 per share, with rights and preferences, including voting rights, designated from time to time by our board of directors. No shares of preferred stock were issued or outstanding as of December 31, 2023 and December 31, 2022.</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IPO, the Company filed an Amended and Restated Certificate of Incorporation which authorizes capital stock of 1,000,000,000 shares of Class A common stock, par value $0.01 per share, 100,000,000 shares of Class B common stock, par value $0.01 per share, and 200,000,000 shares of Class C common stock, par value $0.01 per share. Except for the rights noted below, each Class A, Class B and Class C common stock have the same rights, are equal in all respects and are treated by us as one class of shares. Each share of Class A and Class C common stock is entitled to one vote per share on all matters presented for a vote, except that Class C common stock does not have the right to vote for elections of directors. Subject to certain conditions, Class B common stock is collectively entitled to a number of votes equal to the product of (x) 1.0408163 and (y) the total number of votes that would be cast at such time by the holders of the Class A and Class C common stock and any other preferred stock entitled to vote under the certificate of incorporation at such time (resulting in the Class B common stock collectively holding 51% of the total outstanding voting power), and each share of Class B common stock will be entitled to a number of votes equal to the total number of votes held by all Class B common stock divided by the total number of then outstanding shares of Class B common stock. Shares of Class B and Class C common stock will be converted into shares of Class A common stock on a one-for-one basis upon the occurrence of certain events. Shares of Class B common stock will automatically convert on the first business day (i) after the date on which the outstanding shares of Class B common stock constitutes less than 5% of the aggregate number of shares of common stock then outstanding, (ii) after the date on which neither founder is serving as an executive officer or (iii) following seven years after the date the amended and restate certificate of incorporation becomes effective, provided that, such period may, to the extent permitted by law and applicable stock exchange rules, be extended for three years upon the affirmative vote of the holders of a majority of the voting power of the then-outstanding shares of Class A common stock entitled to vote thereon, voting separately as a class. Shares of Class C common stock will be convertible at the option of the holder upon determination that a Hart-Scott-Rodino Antitrust Improvements Act (“HSR”) filing is not necessary prior to the holder’s conversion of such shares or, if required, upon expiration or termination of the HSR waiting period.</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if any, subject to the preferential dividend right of the preferred stockholders. No dividends have been declared through December 31, 2023.</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August 2021, the Company issued 4.7 million and 8.1 million shares of Class A common stock at a fair value of $11.20 and $10.51 per share in connection with the acquisitions of Conversa and SilverCloud, respectively (see Note 8). In the year ended December 31, 2022 the Company issued 1.0 million and 5.0 million shares of Class A common stock at a fair value of $4.21 and $2.61 per share in connection with the settlement of the earnouts for Conversa and SilverCloud, respectively (see Note 6). In the year ended December 31, 2022 the Company also issued 0.6 million shares of Class A common stock in relation to the early settlement of the bonus escrow.</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no shares of Class B common stock were converted to Class A common stock. As of December 31, 2023 the par value of the Class A, Class B and Class C shares was $2,548, $275 and $56, respectively.</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87"/>
        </w:trPr>
        <w:tc>
          <w:tcPr>
            <w:tcW w:w="4920" w:type="dxa"/>
            <w:vAlign w:val="bottom"/>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w:t>
            </w: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1,000,000,000</w:t>
            </w:r>
          </w:p>
        </w:tc>
        <w:tc>
          <w:tcPr>
            <w:tcW w:w="1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255,542,545</w:t>
            </w:r>
          </w:p>
        </w:tc>
        <w:tc>
          <w:tcPr>
            <w:tcW w:w="1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255,542,545</w:t>
            </w: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100,000,000</w:t>
            </w:r>
          </w:p>
        </w:tc>
        <w:tc>
          <w:tcPr>
            <w:tcW w:w="13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27,390,397</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27,390,397</w:t>
            </w:r>
          </w:p>
        </w:tc>
      </w:tr>
      <w:tr>
        <w:trPr>
          <w:trHeight w:val="243"/>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w:t>
            </w: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200,000,000</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5,555,555</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5,555,555</w:t>
            </w:r>
          </w:p>
        </w:tc>
      </w:tr>
      <w:tr>
        <w:trPr>
          <w:trHeight w:val="236"/>
        </w:trPr>
        <w:tc>
          <w:tcPr>
            <w:tcW w:w="492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1,300,000,000</w:t>
            </w:r>
          </w:p>
        </w:tc>
        <w:tc>
          <w:tcPr>
            <w:tcW w:w="13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288,488,497</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288,488,497</w:t>
            </w:r>
          </w:p>
        </w:tc>
      </w:tr>
      <w:tr>
        <w:trPr>
          <w:trHeight w:val="20"/>
        </w:trPr>
        <w:tc>
          <w:tcPr>
            <w:tcW w:w="4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-187960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60" w:firstLine="563"/>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reserved 74,506,099 and 68,617,245 shares of common stock for the exercise of outstanding stock options, the vesting of restricted stock units and the number of shares remaining available for future grant,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Plans and Stock Options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maintains the 2006 Employee, Director and Consultant Stock Plan as amended and restated (the “2006 Plan”) and 2020 Equity Incentive Plan (the “2020 Plan” together, the “Plans”) under which it has granted incentive stock options, non-qualified stock options, and restricted stock units to employees, officers, and directors of the Company. In connection with the adoption of the 2020 Plan, the then-remaining shares of common stock reserved for grant or issuance under the 2006 Plan became available for issuance under the 2020 Plan, and no further grants will be made under the 2006 Plan. The 2020 Plan is administered by the board of directors with respect to awards to non-employee directors and by the compensation committee, with respect to other participants, are collectively, referred to as the plan administrator. The exercise prices, vesting and other restrictions are determined at the discretion of the plan administrator. Options issued under the Plans are exercisable for periods not to exceed ten years, and vest and contain such other terms and conditions as specified in the applicable award document. Options to buy common stock are issued under the Plans, with exercise prices equal to the closing price of shares of the Company’s common stock on the New York Stock Exchange on the date of award. Stock options granted under the Plan typically vest over four years and expire ten years after the grant date. The Company had 8,454,180 shares available for grant as of December 31, 2023.</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under the Plans is as follows: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2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11,039,551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5.23</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(757,743 )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(286,599 )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9,989,049</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9,978,545</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9,906,925</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-496570</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2023, 2022 and 2021, was $206, $5,167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$106,407, respectively. The aggregate intrinsic value of common stock options is calculated as the difference between the exercise price of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 the fair value of the Company’s common stock for those stock options that had exercise prices lower than the fair value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2023, 2022 and2021.</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received cash proceeds from the exercise of common stock options of $569, $5,740 and $20,806 during the years ended December 31, 2023, 2022 and 2021,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unvested restricted stock unit activity for the year ended December 31, 2023:</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19,316,459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15,980,943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(8,956,584 )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(3,917,923 )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22,422,895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RSU’s granted for the years ended December 31, 2023, 2022 and 2021 was $39,419, $63,987 and $152,550, respectively. The aggregate intrinsic value of restricted stock units vested for the years ended December 31, 2023, 2022 and 2021 was $18,773, $22,218 and $90,726, respectively.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Market Condition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2023 the Company granted performance-based market condition share awards to certain members of the Company’s management team (excluding the co-CEOs), which entitle these employees with the right to receive shares of common stock upon achievement of certain stock price milestones measured over a rolling thirty day trading-period, subject to the satisfaction of the applicable service vesting conditions. These performance-based market condition share awards consist of three tranches with three separate specified award values that become payable upon the achievement of certain stock price milestones, which can result in a vesting range of up to 2,654,598 shares. These performance-based market condition share awards have a performance period of three years.</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1,146,310 of the performance-based market condition share awards granted in the prior year have satisfied both the applicable market capitalization milestones and the service vesting conditions. None of the performance-based market condition share awards granted in 2023 have vested.</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total grant-date fair value of performance-based market condition share awards granted during the year ended December 31, 2023 and 2022 was $5,805 and $63,157, respectively. No performance-based market condition share awards were granted during the year ended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1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8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25,602,405</w:t>
            </w:r>
          </w:p>
        </w:tc>
        <w:tc>
          <w:tcPr>
            <w:tcW w:w="4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2,654,598</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(1,146,310 )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(394,387 )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26,716,306</w:t>
            </w: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estimated fair value of the performance-based market condition share awards granted during the year ended December 31, 2023 and December 31, 2022 was determined using a Monte-Carlo valuation simulation, with the following most significant weighted-average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8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16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2.34 %</w:t>
            </w:r>
          </w:p>
        </w:tc>
        <w:tc>
          <w:tcPr>
            <w:tcW w:w="168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to end of performance period (yrs)</w:t>
            </w:r>
          </w:p>
        </w:tc>
        <w:tc>
          <w:tcPr>
            <w:tcW w:w="12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 years</w:t>
            </w:r>
          </w:p>
        </w:tc>
        <w:tc>
          <w:tcPr>
            <w:tcW w:w="16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valuation date stock price</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75 %</w:t>
            </w:r>
          </w:p>
        </w:tc>
        <w:tc>
          <w:tcPr>
            <w:tcW w:w="16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68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-912495</wp:posOffset>
            </wp:positionV>
            <wp:extent cx="10287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-912495</wp:posOffset>
            </wp:positionV>
            <wp:extent cx="9398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July and August 2020, the Company’s board of directors adopted, and the Company’s stockholders approved, the 2020 Employee Stock Purchase Plan (“ESPP”). Rights granted under the ESPP will be issued only with respect to shares of Class A common stock. The purchase price of the shares will not be less than 85% of the fair market value of Class A common stock on the lower of the purchase date, which will be the final trading day of the purchase period, or the enrollment date, which will be the first trading day of the offering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issued 1,224,312, 703,148 and 178,021 shares under the ESPP. As of December 31, 2023 6,923,669 shares remained available for issuance.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and comprehensive loss as follows: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1,681</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1,605</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1,655</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10,348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7,613</w:t>
            </w: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8,613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7,666</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51,398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50,121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26,875</w:t>
            </w: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72,040</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69,144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-25400</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the unvested common stock-based awards was $65,125, which is expected to be recognized over a weighted-average period of 2.2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primary lease represents the lease for its corporate headquarters in Boston, Massachusetts. The Company modified the corporate headquarter lease during the third quarter of 2021. Rent expense for the year ended December 31, 2023 was $4,292. The carrying value of the Company’s right-of-use assets are substantially concentrated in real estate as the Company primarily leases office space. The Company’s policy is not to record leases with an original lease term of one year or less on the consolidated balance sheets. The Company recognizes lease expense for these short-term leases on a straight-line basis over the lease term. The Company does not have any lease contracts with the option to purchase as of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4"/>
                <w:szCs w:val="14"/>
                <w:color w:val="auto"/>
              </w:rPr>
            </w:pPr>
          </w:p>
        </w:tc>
      </w:tr>
      <w:tr>
        <w:trPr>
          <w:trHeight w:val="201"/>
        </w:trPr>
        <w:tc>
          <w:tcPr>
            <w:tcW w:w="1700" w:type="dxa"/>
            <w:vAlign w:val="bottom"/>
          </w:tcPr>
          <w:p>
            <w:pPr>
              <w:spacing w:after="0"/>
              <w:rPr>
                <w:sz w:val="17"/>
                <w:szCs w:val="17"/>
                <w:color w:val="auto"/>
              </w:rPr>
            </w:pPr>
          </w:p>
        </w:tc>
        <w:tc>
          <w:tcPr>
            <w:tcW w:w="466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The components of lease cost under ASC 842 were</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52"/>
        </w:trPr>
        <w:tc>
          <w:tcPr>
            <w:tcW w:w="1700" w:type="dxa"/>
            <w:vAlign w:val="bottom"/>
          </w:tcPr>
          <w:p>
            <w:pPr>
              <w:spacing w:after="0"/>
              <w:rPr>
                <w:sz w:val="21"/>
                <w:szCs w:val="21"/>
                <w:color w:val="auto"/>
              </w:rPr>
            </w:pPr>
          </w:p>
        </w:tc>
        <w:tc>
          <w:tcPr>
            <w:tcW w:w="4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follows:</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466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680" w:type="dxa"/>
            <w:vAlign w:val="bottom"/>
          </w:tcPr>
          <w:p>
            <w:pPr>
              <w:spacing w:after="0"/>
              <w:rPr>
                <w:sz w:val="24"/>
                <w:szCs w:val="24"/>
                <w:color w:val="auto"/>
              </w:rPr>
            </w:pPr>
          </w:p>
        </w:tc>
      </w:tr>
      <w:tr>
        <w:trPr>
          <w:trHeight w:val="403"/>
        </w:trPr>
        <w:tc>
          <w:tcPr>
            <w:tcW w:w="1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1"/>
        </w:trPr>
        <w:tc>
          <w:tcPr>
            <w:tcW w:w="17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3,527</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680" w:type="dxa"/>
            <w:vAlign w:val="bottom"/>
          </w:tcPr>
          <w:p>
            <w:pPr>
              <w:spacing w:after="0"/>
              <w:rPr>
                <w:sz w:val="21"/>
                <w:szCs w:val="21"/>
                <w:color w:val="auto"/>
              </w:rPr>
            </w:pPr>
          </w:p>
        </w:tc>
      </w:tr>
      <w:tr>
        <w:trPr>
          <w:trHeight w:val="241"/>
        </w:trPr>
        <w:tc>
          <w:tcPr>
            <w:tcW w:w="17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lease activity:</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3"/>
        </w:trPr>
        <w:tc>
          <w:tcPr>
            <w:tcW w:w="170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lease assets obtained in exchange for</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48"/>
        </w:trPr>
        <w:tc>
          <w:tcPr>
            <w:tcW w:w="1700" w:type="dxa"/>
            <w:vAlign w:val="bottom"/>
          </w:tcPr>
          <w:p>
            <w:pPr>
              <w:spacing w:after="0"/>
              <w:rPr>
                <w:sz w:val="21"/>
                <w:szCs w:val="21"/>
                <w:color w:val="auto"/>
              </w:rPr>
            </w:pPr>
          </w:p>
        </w:tc>
        <w:tc>
          <w:tcPr>
            <w:tcW w:w="4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new operating lease liability:</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680" w:type="dxa"/>
            <w:vAlign w:val="bottom"/>
          </w:tcPr>
          <w:p>
            <w:pPr>
              <w:spacing w:after="0"/>
              <w:rPr>
                <w:sz w:val="20"/>
                <w:szCs w:val="20"/>
                <w:color w:val="auto"/>
              </w:rPr>
            </w:pPr>
          </w:p>
        </w:tc>
      </w:tr>
      <w:tr>
        <w:trPr>
          <w:trHeight w:val="657"/>
        </w:trPr>
        <w:tc>
          <w:tcPr>
            <w:tcW w:w="1700" w:type="dxa"/>
            <w:vAlign w:val="bottom"/>
          </w:tcPr>
          <w:p>
            <w:pPr>
              <w:spacing w:after="0"/>
              <w:rPr>
                <w:sz w:val="24"/>
                <w:szCs w:val="24"/>
                <w:color w:val="auto"/>
              </w:rPr>
            </w:pPr>
          </w:p>
        </w:tc>
        <w:tc>
          <w:tcPr>
            <w:tcW w:w="466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F-28</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-2527935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-2510790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-2527935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-2510790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01"/>
        </w:trPr>
        <w:tc>
          <w:tcPr>
            <w:tcW w:w="540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Supplemental balance sheet information related to</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52"/>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leases is as follows: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80" w:type="dxa"/>
            <w:vAlign w:val="bottom"/>
          </w:tcPr>
          <w:p>
            <w:pPr>
              <w:spacing w:after="0"/>
              <w:rPr>
                <w:sz w:val="21"/>
                <w:szCs w:val="21"/>
                <w:color w:val="auto"/>
              </w:rPr>
            </w:pP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right-of-use lease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20"/>
                <w:szCs w:val="20"/>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80" w:type="dxa"/>
            <w:vAlign w:val="bottom"/>
          </w:tcPr>
          <w:p>
            <w:pPr>
              <w:spacing w:after="0"/>
              <w:rPr>
                <w:sz w:val="20"/>
                <w:szCs w:val="20"/>
                <w:color w:val="auto"/>
              </w:rPr>
            </w:pPr>
          </w:p>
        </w:tc>
      </w:tr>
      <w:tr>
        <w:trPr>
          <w:trHeight w:val="237"/>
        </w:trPr>
        <w:tc>
          <w:tcPr>
            <w:tcW w:w="5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80" w:type="dxa"/>
            <w:vAlign w:val="bottom"/>
          </w:tcPr>
          <w:p>
            <w:pPr>
              <w:spacing w:after="0"/>
              <w:rPr>
                <w:sz w:val="20"/>
                <w:szCs w:val="20"/>
                <w:color w:val="auto"/>
              </w:rPr>
            </w:pP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 years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years</w:t>
            </w:r>
          </w:p>
        </w:tc>
        <w:tc>
          <w:tcPr>
            <w:tcW w:w="80" w:type="dxa"/>
            <w:vAlign w:val="bottom"/>
          </w:tcPr>
          <w:p>
            <w:pPr>
              <w:spacing w:after="0"/>
              <w:rPr>
                <w:sz w:val="20"/>
                <w:szCs w:val="20"/>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-144780</wp:posOffset>
            </wp:positionV>
            <wp:extent cx="4989195"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-950595</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-307975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minimum future lease payments for these operating leases were as follows: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0" w:type="dxa"/>
            <w:vAlign w:val="bottom"/>
          </w:tcPr>
          <w:p>
            <w:pPr>
              <w:spacing w:after="0"/>
              <w:rPr>
                <w:sz w:val="20"/>
                <w:szCs w:val="20"/>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Pr>
          <w:p>
            <w:pPr>
              <w:spacing w:after="0"/>
              <w:rPr>
                <w:sz w:val="21"/>
                <w:szCs w:val="2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20"/>
                <w:szCs w:val="20"/>
                <w:color w:val="auto"/>
              </w:rPr>
            </w:pPr>
          </w:p>
        </w:tc>
      </w:tr>
      <w:tr>
        <w:trPr>
          <w:trHeight w:val="252"/>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83"/>
        </w:trPr>
        <w:tc>
          <w:tcPr>
            <w:tcW w:w="5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 w:type="dxa"/>
            <w:vAlign w:val="bottom"/>
          </w:tcPr>
          <w:p>
            <w:pPr>
              <w:spacing w:after="0"/>
              <w:rPr>
                <w:sz w:val="24"/>
                <w:szCs w:val="24"/>
                <w:color w:val="auto"/>
              </w:rPr>
            </w:pPr>
          </w:p>
        </w:tc>
      </w:tr>
      <w:tr>
        <w:trPr>
          <w:trHeight w:val="224"/>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0" w:type="dxa"/>
            <w:vAlign w:val="bottom"/>
          </w:tcPr>
          <w:p>
            <w:pPr>
              <w:spacing w:after="0"/>
              <w:rPr>
                <w:sz w:val="19"/>
                <w:szCs w:val="19"/>
                <w:color w:val="auto"/>
              </w:rPr>
            </w:pPr>
          </w:p>
        </w:tc>
      </w:tr>
      <w:tr>
        <w:trPr>
          <w:trHeight w:val="257"/>
        </w:trPr>
        <w:tc>
          <w:tcPr>
            <w:tcW w:w="5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 w:type="dxa"/>
            <w:vAlign w:val="bottom"/>
          </w:tcPr>
          <w:p>
            <w:pPr>
              <w:spacing w:after="0"/>
              <w:rPr>
                <w:sz w:val="22"/>
                <w:szCs w:val="22"/>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third-party claims asserting infringement of certain intellectual property rights in the ordinary course of business. The Company also regularly indemnifies clients against third-party claims that the company’s products or services breach applicable law or regulation or from claims resulting from a breach of the business associate agreement in place with the client. In addition, the Company indemnifies its officers, directors and certain key employees while they are serving in good faith in their capacities. Through December 31, 2023, there have been no claims under any indemnification provisions.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may be subject to various claims, charges, and litigation. On September 14, 2020, the Company received a letter from Teladoc Health, Inc. alleging that certain of the Company’s cart products and associated peripherals infringe upon their patents. On October 12, 2020, Teladoc Health, Inc filed a claim against the Company related to these allegations. On June 30, 2022, the claim was dismissed pursuant to a confidential settlement between the parties. As of December 31, 2023 and 2022, the Company did not have any pending claims, charges or litigation that it expects would have a material adverse effect on its consolidated financial position, results of operations or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an income tax (expense) benefit of $(3,860), $(64) and $5,376, respectively. The December 31, 2023 income tax provision is primarily due to foreign income taxes in Israel. The December 31, 2022 income tax provision is primarily due to foreign income taxes in Israel partially offset by losses in Ireland. The December 31, 2021 income tax benefit is primarily due to a partial release of valuation allowance in the U.S. resulting from the deferred tax liabilities established as part of the Acquisitions consummated during the year (see Note 8).</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Company’s loss before income taxes is primarily generated in the United States as the pre-tax loss from the Company’s foreign subsidiaries is not significant.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8"/>
          <w:szCs w:val="18"/>
          <w:color w:val="auto"/>
        </w:rPr>
        <w:t>The components of our current and deferred portions of the provision for income taxes are presented in the table below:</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(828 )</w:t>
            </w:r>
          </w:p>
        </w:tc>
      </w:tr>
      <w:tr>
        <w:trPr>
          <w:trHeight w:val="241"/>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(3,278 )</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(869 )</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5,730</w:t>
            </w: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516</w:t>
            </w: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6,245</w:t>
            </w:r>
          </w:p>
        </w:tc>
      </w:tr>
      <w:tr>
        <w:trPr>
          <w:trHeight w:val="28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-342265</wp:posOffset>
            </wp:positionV>
            <wp:extent cx="857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-342265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reconciles the differences between income taxes computed at the federal statutory rate and the provision for income taxes:</w:t>
      </w:r>
    </w:p>
    <w:p>
      <w:pPr>
        <w:spacing w:after="0" w:line="25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7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r>
      <w:tr>
        <w:trPr>
          <w:trHeight w:val="250"/>
        </w:trPr>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(18.5 )</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r>
      <w:tr>
        <w:trPr>
          <w:trHeight w:val="252"/>
        </w:trPr>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Permanent differences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(14.0 )</w:t>
            </w: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r>
      <w:tr>
        <w:trPr>
          <w:trHeight w:val="23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0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(0.6 )%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8"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were as follows: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229,264</w:t>
            </w: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201,495</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1,603</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3,395</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5,687</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7,590</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Leasing obligation</w:t>
            </w: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3,932</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43,476</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27,147</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1,224</w:t>
            </w:r>
          </w:p>
        </w:tc>
      </w:tr>
      <w:tr>
        <w:trPr>
          <w:trHeight w:val="241"/>
        </w:trPr>
        <w:tc>
          <w:tcPr>
            <w:tcW w:w="6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288,276</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246,386</w:t>
            </w:r>
          </w:p>
        </w:tc>
      </w:tr>
      <w:tr>
        <w:trPr>
          <w:trHeight w:val="239"/>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263,001</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214,776</w:t>
            </w:r>
          </w:p>
        </w:tc>
      </w:tr>
      <w:tr>
        <w:trPr>
          <w:trHeight w:val="241"/>
        </w:trPr>
        <w:tc>
          <w:tcPr>
            <w:tcW w:w="6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25,275</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31,610</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 investment basis difference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(1,321 )</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(20,879 )</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(26,672 )</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(3,578 )</w:t>
            </w:r>
          </w:p>
        </w:tc>
      </w:tr>
      <w:tr>
        <w:trPr>
          <w:trHeight w:val="243"/>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(1,902 )</w:t>
            </w:r>
          </w:p>
        </w:tc>
        <w:tc>
          <w:tcPr>
            <w:tcW w:w="1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(1,499 )</w:t>
            </w:r>
          </w:p>
        </w:tc>
      </w:tr>
      <w:tr>
        <w:trPr>
          <w:trHeight w:val="236"/>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assets (liabilities)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(26,573 )</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(33,070 )</w:t>
            </w:r>
          </w:p>
        </w:tc>
      </w:tr>
      <w:tr>
        <w:trPr>
          <w:trHeight w:val="27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-351155</wp:posOffset>
            </wp:positionV>
            <wp:extent cx="93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93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93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the deferred tax assets. Management has considered the Company's history of cumulative net losses incurred in the U.S. since inception and has concluded that it is more likely than not that the Company will not realize the benefits of the deferred tax assets. Accordingly, a full valuation allowance has been established against the net domestic deferred tax assets as of December 31, 2023, 2022 and 2021. Management reevaluates the positive and negative evidence at each reporting period.</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9" w:right="459" w:bottom="1440" w:gutter="0" w:footer="0" w:header="0"/>
        </w:sectPr>
      </w:pPr>
    </w:p>
    <w:bookmarkStart w:id="112" w:name="page113"/>
    <w:bookmarkEnd w:id="112"/>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2023, 2022 and 2021 related primarily to the increase in net operating loss carryforwards in 2023, 2022 and 2021 and were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beginning of the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214,776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164,391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118,795</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4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48,225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50,403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51,348</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recorded as a benefit to income tax provision</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(5,752 )</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263,001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214,776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164,391</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federal net operating loss carryforwards of approximately $865,981, which begin to expire in 2026. The Company’s federal net operating losses generated for the years ended after December 31, 2017, which amounted to a total of $636,756, can be carried forward indefinitely. The Company has tax effected state net operating losses of approximately $41,847, which began to expire in 2024. In addition, the Company has federal and state research and development tax credit carryforwards of $1,602 and $58, which begin to expire in 2027 and 2035, respectively.</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Company's net operating loss ("NOL") carryforwards and research and development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could result in a change of control as defined by Section</w:t>
      </w:r>
    </w:p>
    <w:p>
      <w:pPr>
        <w:spacing w:after="0" w:line="3" w:lineRule="exact"/>
        <w:rPr>
          <w:sz w:val="20"/>
          <w:szCs w:val="20"/>
          <w:color w:val="auto"/>
        </w:rPr>
      </w:pPr>
    </w:p>
    <w:p>
      <w:pPr>
        <w:ind w:firstLine="8"/>
        <w:spacing w:after="0" w:line="253"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conducted an analysis under Section 382 to determine if historical changes in ownership through December 31, 2021 would limit or otherwise restrict its ability to utilize its NOL and R&amp;D credit carryforwards. As a result of this analysis, it was determined that $1,680 federal and $6,391 state net operating loss carryforwards generated through December 31, 2021 will expire unused. However, changes in ownership occurring after December 31, 2021, could affect the limitation in future years, and any limitation may result in expiration of a portion of the NOL or R&amp;D credit carryforwards before utilization.</w:t>
      </w:r>
    </w:p>
    <w:p>
      <w:pPr>
        <w:spacing w:after="0" w:line="187"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The Company does not have unrecognized tax benefits related to uncertain tax positions. The Company recognizes both accrued interest and penalties related to unrecognized tax benefits in income tax expense. The Company has not recorded any interest and penalties on any unrecognized tax benefits since its inception. The tax years 2006 through 2023 remain open to examination by major taxing jurisdictions to which the Company is subject, which is primarily in the United States (U.S.), as carryforward attributes generated in prior years may still be adjusted upon examination by the Internal Revenue Service (IRS) or state tax authorities if they have or will be used in a future period. The Company files income tax returns in the U.S. federal and various state jurisdictions. There are currently no federal or state audits in progress by the IRS or any other jurisdictions for any tax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Teva Pharmaceuticals, Industries Ltd</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Teva Pharmaceuticals, Industries Ltd (“Teva”) was determined to be a related party because a member of the Company’s board of directors was the President and CFO of Teva Pharmaceuticals’ North America Commercial through June 2021. In addition, Teva was a non-significant shareholder of the Company during the year.</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Prior to the board member’s departure from the board of directors in June 2021, the Company recognized an immaterial amount of revenue from contracts with this client.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Philips Holding USA, Inc.</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Philips Holding USA, Inc. (“Philips”) was determined to be a related party because a member of the Company’s board of directors was the Business Leader of Philips Population Health Management through June 2021. In addition, Philips is a non-significant shareholder of the Company. As of September 30, 2021, it was determined Philips was no longer a related party.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8"/>
          <w:szCs w:val="18"/>
          <w:color w:val="auto"/>
        </w:rPr>
        <w:t>Prior to the board member’s departure from Philips in June 2021, the Company recognized revenue of $1,658, from contracts with this client.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Elevance Health Inc. (formerly Anthem)</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Elevance Health Inc. (“Elevance”) was determined to be a related party because a member of the Company’s board of directors served as the Vice President of Elevance through February 2021. In addition, Elevance is a non-significant shareholder of the Company. As of March 31, 2021, it was determined Elevance was no longer a related party.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the board member’s departure from Elevance in February 2021, the Company recognized revenue of $7,218 from contracts with this client.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Cleveland Clinic</w:t>
      </w:r>
    </w:p>
    <w:p>
      <w:pPr>
        <w:spacing w:after="0" w:line="121"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Cleveland Clinic is a related party because a member of the Company’s board of directors is an executive advisor to Cleveland Clinic. As of December 31, 2023 and 2022, the Company held short-term deferred revenue of $43 and $355, respectively from contracts with this client. As of December 31, 2023 and 2022, amounts due from Cleveland Clinic were $24 and $995.</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revenue of $2,283, $2,803 and $1,301, respectively, from contracts with this client.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CCAW, JV LLC</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CCAW, JV LLC is a related party because it is a joint venture formed between the Company and Cleveland Clinic for which the Company has a less than majority owned interest in. During the year ended December 31, 2020 the Company made an initial investment in CCAW, JV LLC of $2,940 for its less than 50% interest in the joint venture. During the years ended December 31, 2023 and 2022 the Company made a capital contributed of $3,920 and $1,960, related to a portion of the phase one capital commitment.</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2022 and 2021, the Company recognized revenue of $1,576, $1,741 and $1,841 from contracts with this client. As of December 31, 2023 and 2022, the Company held short and long term deferred revenue of $1,243 and $1,320 from contracts with this client. As of December 31, 2023 and 2022 amounts due from CCAW, JV LLC were $1,602 and $1,602,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Company contributions to the plan may be made at the discretion of the Company’s board of directors. The Company contributed a total of $3,639, $3,363 and $2,698 to the plan for the years ended December 31, 2023,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(176,782 )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American Well Corporation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(675,164 )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(176,334 )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284,256,743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9"/>
              </w:rPr>
              <w:t>274,249,749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9"/>
              </w:rPr>
              <w:t>254,068,942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5300" w:type="dxa"/>
            <w:vAlign w:val="bottom"/>
            <w:tcBorders>
              <w:top w:val="single" w:sz="8" w:color="CFF0FC"/>
            </w:tcBorders>
          </w:tcPr>
          <w:p>
            <w:pPr>
              <w:ind w:left="4320"/>
              <w:spacing w:after="0"/>
              <w:rPr>
                <w:sz w:val="20"/>
                <w:szCs w:val="20"/>
                <w:color w:val="auto"/>
              </w:rPr>
            </w:pPr>
            <w:r>
              <w:rPr>
                <w:rFonts w:ascii="Times New Roman" w:cs="Times New Roman" w:eastAsia="Times New Roman" w:hAnsi="Times New Roman"/>
                <w:sz w:val="18"/>
                <w:szCs w:val="18"/>
                <w:color w:val="auto"/>
              </w:rPr>
              <w:t>F-32</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-1704975</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-1704975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-933450</wp:posOffset>
            </wp:positionV>
            <wp:extent cx="857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-916305</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-933450</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-916305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4" w:name="page115"/>
    <w:bookmarkEnd w:id="114"/>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convertible preferred stock and unvested restricted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22,422,895</w:t>
            </w:r>
          </w:p>
        </w:tc>
        <w:tc>
          <w:tcPr>
            <w:tcW w:w="1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16,178,486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7,472,787</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performance market-based stock units</w:t>
            </w:r>
          </w:p>
        </w:tc>
        <w:tc>
          <w:tcPr>
            <w:tcW w:w="2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26,716,306</w:t>
            </w:r>
          </w:p>
        </w:tc>
        <w:tc>
          <w:tcPr>
            <w:tcW w:w="1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25,602,405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9,989,049</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11,039,551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15,893,755</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59,128,250</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52,820,442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23,366,542</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33"/>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60" w:type="dxa"/>
            <w:vAlign w:val="bottom"/>
            <w:gridSpan w:val="2"/>
          </w:tcPr>
          <w:p>
            <w:pPr>
              <w:jc w:val="right"/>
              <w:ind w:right="1719"/>
              <w:spacing w:after="0"/>
              <w:rPr>
                <w:sz w:val="20"/>
                <w:szCs w:val="20"/>
                <w:color w:val="auto"/>
              </w:rPr>
            </w:pPr>
            <w:r>
              <w:rPr>
                <w:rFonts w:ascii="Times New Roman" w:cs="Times New Roman" w:eastAsia="Times New Roman" w:hAnsi="Times New Roman"/>
                <w:sz w:val="18"/>
                <w:szCs w:val="18"/>
                <w:color w:val="auto"/>
              </w:rPr>
              <w:t>F-33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-1096645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-1096645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5" w:name="page116"/>
    <w:bookmarkEnd w:id="115"/>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RESTRICTED STOCK UNIT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Name of Participant:</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Address: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Date of Grant:</w:t>
      </w:r>
    </w:p>
    <w:p>
      <w:pPr>
        <w:spacing w:after="0" w:line="200" w:lineRule="exact"/>
        <w:rPr>
          <w:sz w:val="20"/>
          <w:szCs w:val="20"/>
          <w:color w:val="auto"/>
        </w:rPr>
      </w:pP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Total Number of Restricted Stock Units: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Type of Shares Issuable on Vesting:</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33947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###HOME_ADDRESS###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33947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187960</wp:posOffset>
            </wp:positionV>
            <wp:extent cx="33947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###TOTAL_AWARDS###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33947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RSUs shall vest according to the following vesting schedule:</w:t>
      </w:r>
    </w:p>
    <w:p>
      <w:pPr>
        <w:spacing w:after="0" w:line="27"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4"/>
          <w:szCs w:val="14"/>
          <w:color w:val="auto"/>
        </w:rPr>
        <w:t>###VEST_SCHEDULE_DESCRIPTION###</w:t>
      </w:r>
    </w:p>
    <w:p>
      <w:pPr>
        <w:spacing w:after="0" w:line="200"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spacing w:after="0" w:line="252" w:lineRule="exact"/>
        <w:rPr>
          <w:sz w:val="20"/>
          <w:szCs w:val="20"/>
          <w:color w:val="auto"/>
        </w:rPr>
      </w:pPr>
    </w:p>
    <w:p>
      <w:pPr>
        <w:jc w:val="both"/>
        <w:ind w:left="120"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and the Participant acknowledge receipt of this Notice of Restricted Stock Unit Grant and agree to the terms and conditions of the Restricted Stock Unit Agreement attached hereto and incorporated by reference herein, the Company’s 2020 Equity Incentive Plan and the terms of this Notice of Restricted Stock Unit Grant as set forth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AMERICAN WELL CORP</w:t>
            </w:r>
          </w:p>
        </w:tc>
        <w:tc>
          <w:tcPr>
            <w:tcW w:w="83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391"/>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s/o Roy Schoenberg</w:t>
            </w:r>
          </w:p>
        </w:tc>
        <w:tc>
          <w:tcPr>
            <w:tcW w:w="83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By:</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1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 Schoenberg</w:t>
            </w:r>
          </w:p>
        </w:tc>
        <w:tc>
          <w:tcPr>
            <w:tcW w:w="83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Name:   ###PARTICIPANT_NAME###</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CEO</w:t>
            </w: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2086"/>
        </w:trPr>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 - INCORPORATED TERMS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w:t>
      </w:r>
    </w:p>
    <w:p>
      <w:pPr>
        <w:spacing w:after="0" w:line="203" w:lineRule="exact"/>
        <w:rPr>
          <w:sz w:val="20"/>
          <w:szCs w:val="20"/>
          <w:color w:val="auto"/>
        </w:rPr>
      </w:pPr>
    </w:p>
    <w:p>
      <w:pPr>
        <w:ind w:right="60" w:firstLine="757"/>
        <w:spacing w:after="0" w:line="254" w:lineRule="auto"/>
        <w:tabs>
          <w:tab w:leader="none" w:pos="14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 of RSUs</w:t>
      </w:r>
      <w:r>
        <w:rPr>
          <w:rFonts w:ascii="Times New Roman" w:cs="Times New Roman" w:eastAsia="Times New Roman" w:hAnsi="Times New Roman"/>
          <w:sz w:val="18"/>
          <w:szCs w:val="18"/>
          <w:color w:val="auto"/>
        </w:rPr>
        <w:t>. American Well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Participant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Agreement (the “</w:t>
      </w:r>
      <w:r>
        <w:rPr>
          <w:rFonts w:ascii="Times New Roman" w:cs="Times New Roman" w:eastAsia="Times New Roman" w:hAnsi="Times New Roman"/>
          <w:sz w:val="18"/>
          <w:szCs w:val="18"/>
          <w:b w:val="1"/>
          <w:bCs w:val="1"/>
          <w:color w:val="auto"/>
        </w:rPr>
        <w:t>Notice of RSU Grant</w:t>
      </w:r>
      <w:r>
        <w:rPr>
          <w:rFonts w:ascii="Times New Roman" w:cs="Times New Roman" w:eastAsia="Times New Roman" w:hAnsi="Times New Roman"/>
          <w:sz w:val="18"/>
          <w:szCs w:val="18"/>
          <w:color w:val="auto"/>
        </w:rPr>
        <w:t>”), in consideration of Participant’s past and/or continued employment with or service to the Company or a Subsidiary and for other good and valuable consideration, effective as of the date of grant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set forth in the Notice of RSU Grant the number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set forth in the Notice of RSU Grant, upon the terms and conditions set forth in the Company’s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herein by reference, and this Agreement, subject to adjustment as provided in Section 14 of the Plan. Each RSU represents the right to receive one Share, at the times and subject to the conditions set forth herein. However, unless and until the RSUs have vested, Participant will have no right to the issuance of any Shares subject thereto. Prior to the actual delivery of any Shares, the RSUs will represent an unsecured obligation of the Company, payable only from the general assets of the Company. Unless otherwise defined herein or in the Notice of RSU Grant, the terms defined in the Plan shall have the same defined meanings in 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757"/>
        <w:spacing w:after="0" w:line="254" w:lineRule="auto"/>
        <w:tabs>
          <w:tab w:leader="none" w:pos="12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Vesting of RSUs</w:t>
      </w:r>
      <w:r>
        <w:rPr>
          <w:rFonts w:ascii="Times New Roman" w:cs="Times New Roman" w:eastAsia="Times New Roman" w:hAnsi="Times New Roman"/>
          <w:sz w:val="18"/>
          <w:szCs w:val="18"/>
          <w:color w:val="auto"/>
        </w:rPr>
        <w:t>. Subject to Participant’s continued employment with or service to the Company or a Subsidiary on each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vesting date set forth in the Notice of RSU Grant, and subject to the terms of this Agreement, the RSUs shall vest in such amounts and at such times as are set forth in the Notice of RSU Grant. In the event Participant incurs a Termination of Service, except as may be otherwise provided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3" w:lineRule="exact"/>
        <w:rPr>
          <w:rFonts w:ascii="Times New Roman" w:cs="Times New Roman" w:eastAsia="Times New Roman" w:hAnsi="Times New Roman"/>
          <w:sz w:val="18"/>
          <w:szCs w:val="18"/>
          <w:color w:val="auto"/>
        </w:rPr>
      </w:pPr>
    </w:p>
    <w:p>
      <w:pPr>
        <w:ind w:left="1240" w:hanging="48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or Payment of RSUs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760" w:firstLine="745"/>
        <w:spacing w:after="0" w:line="254" w:lineRule="auto"/>
        <w:tabs>
          <w:tab w:leader="none" w:pos="212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RSUs shall be distributed in Shares (either in book-entry form or otherwise) as soon as administratively practicable following the vesting of the applicable RSU pursuant to this Agreement and, in any event, within sixty (60) days following such vesting (for the avoidance of doubt, this deadline is intended to comply with the “short-term deferral” exemption from Section 409A). Notwithstanding the foregoing, the Company may delay a distribution or payment in settlement of RSUs if it reasonably determines that such payment or distribution will violate federal securities laws or any other Applicable Law, provided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(C)(1) if such delay will result in the RSUs becoming subject to or in a violation of Section 409A.</w:t>
      </w:r>
    </w:p>
    <w:p>
      <w:pPr>
        <w:spacing w:after="0" w:line="191" w:lineRule="exact"/>
        <w:rPr>
          <w:rFonts w:ascii="Times New Roman" w:cs="Times New Roman" w:eastAsia="Times New Roman" w:hAnsi="Times New Roman"/>
          <w:sz w:val="18"/>
          <w:szCs w:val="18"/>
          <w:color w:val="auto"/>
        </w:rPr>
      </w:pPr>
    </w:p>
    <w:p>
      <w:pPr>
        <w:ind w:left="2120" w:hanging="615"/>
        <w:spacing w:after="0"/>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made in Shares shall be made by the Company in the form of whole Shares.</w:t>
      </w:r>
    </w:p>
    <w:p>
      <w:pPr>
        <w:spacing w:after="0" w:line="225" w:lineRule="exact"/>
        <w:rPr>
          <w:rFonts w:ascii="Times New Roman" w:cs="Times New Roman" w:eastAsia="Times New Roman" w:hAnsi="Times New Roman"/>
          <w:sz w:val="18"/>
          <w:szCs w:val="18"/>
          <w:color w:val="auto"/>
        </w:rPr>
      </w:pPr>
    </w:p>
    <w:p>
      <w:pPr>
        <w:ind w:right="140" w:firstLine="757"/>
        <w:spacing w:after="0" w:line="255" w:lineRule="auto"/>
        <w:tabs>
          <w:tab w:leader="none" w:pos="12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Issuance of Stock</w:t>
      </w:r>
      <w:r>
        <w:rPr>
          <w:rFonts w:ascii="Times New Roman" w:cs="Times New Roman" w:eastAsia="Times New Roman" w:hAnsi="Times New Roman"/>
          <w:sz w:val="18"/>
          <w:szCs w:val="18"/>
          <w:color w:val="auto"/>
        </w:rPr>
        <w:t>. The Company shall not be required to issue or deliver any certificate or certificates for any Shares or to cause any Shares to be held in book-entry form prior to the fulfillment of any or all of the following conditions: (a) the admission of the Shares to listing on all stock exchanges on which such Shares are then listed, (b) the completion of any registration or other qualification or exemption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by the Company of any tax obligations due on issuance of such Shares, which may be in one or more of the forms of consideration permitted under Section (E)(1).</w:t>
      </w:r>
    </w:p>
    <w:p>
      <w:pPr>
        <w:spacing w:after="0" w:line="184" w:lineRule="exact"/>
        <w:rPr>
          <w:rFonts w:ascii="Times New Roman" w:cs="Times New Roman" w:eastAsia="Times New Roman" w:hAnsi="Times New Roman"/>
          <w:sz w:val="18"/>
          <w:szCs w:val="18"/>
          <w:color w:val="auto"/>
        </w:rPr>
      </w:pPr>
    </w:p>
    <w:p>
      <w:pPr>
        <w:ind w:left="1360" w:hanging="603"/>
        <w:spacing w:after="0"/>
        <w:tabs>
          <w:tab w:leader="none" w:pos="1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Obligations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42" w:lineRule="exact"/>
        <w:rPr>
          <w:sz w:val="20"/>
          <w:szCs w:val="20"/>
          <w:color w:val="auto"/>
        </w:rPr>
      </w:pPr>
    </w:p>
    <w:p>
      <w:pPr>
        <w:ind w:left="-360" w:right="140" w:firstLine="745"/>
        <w:spacing w:after="0" w:line="256" w:lineRule="auto"/>
        <w:tabs>
          <w:tab w:leader="none" w:pos="10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Parent or Subsidiary employing or retaining Participant) has the authority to deduct or withhold, or require Participant to remit to the applicable employing entity, an amount sufficient to satisfy any applicable federal, state, local and foreign income and employment tax withholding requirements (including the employee portion of any FICA obligation) applicable to the issuance of Shares pursuant to the RSUs or with respect to any taxable event arising pursuant to this Agreement. The Company (or its Parent or Subsidiary, as applicable) may withhold, or if the Participant is subject to Section 16 of the Exchange Act, the Participant shall be permitted to instruct the Company to withhold, such payment in one or more of the following forms:</w:t>
      </w:r>
    </w:p>
    <w:p>
      <w:pPr>
        <w:spacing w:after="0" w:line="187" w:lineRule="exact"/>
        <w:rPr>
          <w:rFonts w:ascii="Times New Roman" w:cs="Times New Roman" w:eastAsia="Times New Roman" w:hAnsi="Times New Roman"/>
          <w:sz w:val="18"/>
          <w:szCs w:val="18"/>
          <w:color w:val="auto"/>
        </w:rPr>
      </w:pPr>
    </w:p>
    <w:p>
      <w:pPr>
        <w:ind w:left="1520" w:hanging="386"/>
        <w:spacing w:after="0"/>
        <w:tabs>
          <w:tab w:leader="none" w:pos="15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w:t>
      </w:r>
    </w:p>
    <w:p>
      <w:pPr>
        <w:spacing w:after="0" w:line="225" w:lineRule="exact"/>
        <w:rPr>
          <w:rFonts w:ascii="Times New Roman" w:cs="Times New Roman" w:eastAsia="Times New Roman" w:hAnsi="Times New Roman"/>
          <w:sz w:val="18"/>
          <w:szCs w:val="18"/>
          <w:color w:val="auto"/>
        </w:rPr>
      </w:pPr>
    </w:p>
    <w:p>
      <w:pPr>
        <w:ind w:left="380" w:firstLine="754"/>
        <w:spacing w:after="0" w:line="258" w:lineRule="auto"/>
        <w:tabs>
          <w:tab w:leader="none" w:pos="148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electing to have withheld the net number of Shares otherwise issuable pursuant to the RSUs having a then current Fair Market Value not exceeding the amount necessary to satisfy the withholding obligation of the Company (or its Parent or Subsidiary, as applicable) based on the maximum statutory withholding rates in Participant’s applicable jurisdictions for federal, state, local and foreign income tax and payroll tax purposes that are applicable to such taxable income;</w:t>
      </w:r>
    </w:p>
    <w:p>
      <w:pPr>
        <w:spacing w:after="0" w:line="210" w:lineRule="exact"/>
        <w:rPr>
          <w:rFonts w:ascii="Times New Roman" w:cs="Times New Roman" w:eastAsia="Times New Roman" w:hAnsi="Times New Roman"/>
          <w:sz w:val="18"/>
          <w:szCs w:val="18"/>
          <w:color w:val="auto"/>
        </w:rPr>
      </w:pPr>
    </w:p>
    <w:p>
      <w:pPr>
        <w:ind w:left="380" w:right="80" w:firstLine="754"/>
        <w:spacing w:after="0" w:line="258" w:lineRule="auto"/>
        <w:tabs>
          <w:tab w:leader="none" w:pos="162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(or its Parent or Subsidiary, as applicable) based on the maximum statutory withholding rates in Participant’s applicable jurisdictions for federal, state, local and foreign income tax and payroll tax purposes that are applicable to such taxable income; or</w:t>
      </w:r>
    </w:p>
    <w:p>
      <w:pPr>
        <w:spacing w:after="0" w:line="183" w:lineRule="exact"/>
        <w:rPr>
          <w:rFonts w:ascii="Times New Roman" w:cs="Times New Roman" w:eastAsia="Times New Roman" w:hAnsi="Times New Roman"/>
          <w:sz w:val="18"/>
          <w:szCs w:val="18"/>
          <w:color w:val="auto"/>
        </w:rPr>
      </w:pPr>
    </w:p>
    <w:p>
      <w:pPr>
        <w:jc w:val="both"/>
        <w:ind w:left="380" w:right="340" w:firstLine="754"/>
        <w:spacing w:after="0" w:line="266" w:lineRule="auto"/>
        <w:tabs>
          <w:tab w:leader="none" w:pos="147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selling a sufficient number of Shares otherwise deliverable to Participant through such means as the Administrator may determine in its sole discretion (whether through a broker or otherwise) equal to the amount required to satisfy such withholding taxes.</w:t>
      </w:r>
    </w:p>
    <w:p>
      <w:pPr>
        <w:spacing w:after="0" w:line="176" w:lineRule="exact"/>
        <w:rPr>
          <w:sz w:val="20"/>
          <w:szCs w:val="20"/>
          <w:color w:val="auto"/>
        </w:rPr>
      </w:pPr>
    </w:p>
    <w:p>
      <w:pPr>
        <w:ind w:left="380" w:right="180" w:firstLine="749"/>
        <w:spacing w:after="0" w:line="266" w:lineRule="auto"/>
        <w:rPr>
          <w:sz w:val="20"/>
          <w:szCs w:val="20"/>
          <w:color w:val="auto"/>
        </w:rPr>
      </w:pPr>
      <w:r>
        <w:rPr>
          <w:rFonts w:ascii="Times New Roman" w:cs="Times New Roman" w:eastAsia="Times New Roman" w:hAnsi="Times New Roman"/>
          <w:sz w:val="18"/>
          <w:szCs w:val="18"/>
          <w:color w:val="auto"/>
        </w:rPr>
        <w:t>Participant acknowledges and agrees that the Company may refuse to deliver the Shares issuable with respect to the RSUs to, or cause any such Shares to be held in book-entry form by, Participant or his or her legal representative if such withholding amounts are not timely delivered in full pursuant to this Section (E)(1).</w:t>
      </w:r>
    </w:p>
    <w:p>
      <w:pPr>
        <w:spacing w:after="0" w:line="176" w:lineRule="exact"/>
        <w:rPr>
          <w:sz w:val="20"/>
          <w:szCs w:val="20"/>
          <w:color w:val="auto"/>
        </w:rPr>
      </w:pPr>
    </w:p>
    <w:p>
      <w:pPr>
        <w:ind w:left="-360" w:firstLine="745"/>
        <w:spacing w:after="0" w:line="255" w:lineRule="auto"/>
        <w:tabs>
          <w:tab w:leader="none" w:pos="10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Award is not intended to constitute “nonqualified deferred compensation” within the meaning of Code Section 409A. However, notwithstanding any other provision of the Plan or this Agreement, if, at any time, the Administrator determines that this Award (or any portion thereof) may be subject to Code Section 409A, the Administrator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Code Section 409A or to comply with the requirements of Code Section 409A.</w:t>
      </w:r>
    </w:p>
    <w:p>
      <w:pPr>
        <w:spacing w:after="0" w:line="188" w:lineRule="exact"/>
        <w:rPr>
          <w:rFonts w:ascii="Times New Roman" w:cs="Times New Roman" w:eastAsia="Times New Roman" w:hAnsi="Times New Roman"/>
          <w:sz w:val="18"/>
          <w:szCs w:val="18"/>
          <w:color w:val="auto"/>
        </w:rPr>
      </w:pPr>
    </w:p>
    <w:p>
      <w:pPr>
        <w:jc w:val="both"/>
        <w:ind w:left="-360" w:right="200" w:firstLine="745"/>
        <w:spacing w:after="0" w:line="258" w:lineRule="auto"/>
        <w:tabs>
          <w:tab w:leader="none" w:pos="10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Participant is ultimately liable and responsible for all taxes owed in connection with the RSUs, regardless of any action the Company or any of its Parents or Subsidiaries takes with respect to any tax withholding obligations that arise in connection with the RSUs. Neither the Company nor any of its Parents or Subsidiaries makes any representation or undertaking regarding the treatment of any tax withholding in connection with the awarding, vesting or payment of the RSUs or the subsequent sale of Shares. The Company and its Parents and Subsidiaries do not commit and are under no obligation to structure the RSUs to reduce or eliminate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1007110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18" w:name="page119"/>
    <w:bookmarkEnd w:id="118"/>
    <w:p>
      <w:pPr>
        <w:spacing w:after="0" w:line="122" w:lineRule="exact"/>
        <w:rPr>
          <w:sz w:val="20"/>
          <w:szCs w:val="20"/>
          <w:color w:val="auto"/>
        </w:rPr>
      </w:pPr>
    </w:p>
    <w:p>
      <w:pPr>
        <w:ind w:left="-757" w:firstLine="757"/>
        <w:spacing w:after="0" w:line="257" w:lineRule="auto"/>
        <w:tabs>
          <w:tab w:leader="none" w:pos="5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757" w:right="40" w:firstLine="757"/>
        <w:spacing w:after="0" w:line="255" w:lineRule="auto"/>
        <w:tabs>
          <w:tab w:leader="none" w:pos="5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RSUs Not Transferable</w:t>
      </w:r>
      <w:r>
        <w:rPr>
          <w:rFonts w:ascii="Times New Roman" w:cs="Times New Roman" w:eastAsia="Times New Roman" w:hAnsi="Times New Roman"/>
          <w:sz w:val="18"/>
          <w:szCs w:val="18"/>
          <w:color w:val="auto"/>
        </w:rPr>
        <w:t>. The RSUs may not be sold, pledged, assigned or transferred in any manner other than by will or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85" w:lineRule="exact"/>
        <w:rPr>
          <w:sz w:val="20"/>
          <w:szCs w:val="20"/>
          <w:color w:val="auto"/>
        </w:rPr>
      </w:pPr>
    </w:p>
    <w:p>
      <w:pPr>
        <w:ind w:left="-757" w:right="20" w:firstLine="757"/>
        <w:spacing w:after="0" w:line="259" w:lineRule="auto"/>
        <w:tabs>
          <w:tab w:leader="none" w:pos="5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 Governing Law</w:t>
      </w:r>
      <w:r>
        <w:rPr>
          <w:rFonts w:ascii="Times New Roman" w:cs="Times New Roman" w:eastAsia="Times New Roman" w:hAnsi="Times New Roman"/>
          <w:sz w:val="18"/>
          <w:szCs w:val="18"/>
          <w:color w:val="auto"/>
        </w:rPr>
        <w:t>. The Plan is incorporated herein by reference. The Plan and this Agreement constitute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the parties with respect to the subject matter hereof and supersede in their entirety all prior undertakings and agreements of the Company and Participant with respect to the subject matter hereof, except as may otherwise be set forth in the Participant’s employment agreement or offer letter with the Company, and may not be modified adversely to the Participant’s interest except by means of a writing signed by the Company and Participant or as is otherwise permitted under the Plan. This Agreement is governed by the internal substantive laws but not the choice of law rules of State of Delaware.</w:t>
      </w:r>
    </w:p>
    <w:p>
      <w:pPr>
        <w:spacing w:after="0" w:line="179" w:lineRule="exact"/>
        <w:rPr>
          <w:sz w:val="20"/>
          <w:szCs w:val="20"/>
          <w:color w:val="auto"/>
        </w:rPr>
      </w:pPr>
    </w:p>
    <w:p>
      <w:pPr>
        <w:ind w:left="-757" w:right="80" w:firstLine="757"/>
        <w:spacing w:after="0" w:line="254" w:lineRule="auto"/>
        <w:tabs>
          <w:tab w:leader="none" w:pos="5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Guarantee of Continued Service</w:t>
      </w:r>
      <w:r>
        <w:rPr>
          <w:rFonts w:ascii="Times New Roman" w:cs="Times New Roman" w:eastAsia="Times New Roman" w:hAnsi="Times New Roman"/>
          <w:sz w:val="18"/>
          <w:szCs w:val="18"/>
          <w:color w:val="auto"/>
        </w:rPr>
        <w:t>. PARTICIPANT ACKNOWLEDGES AND AGREES THAT THE VESTING OF 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VESTING SCHEDULE HEREOF AND ISSUANCE OF SHARES PURSUANT THERETO IS EARNED ONLY BY CONTINUING AS A SERVICE PROVIDER AT THE WILL OF THE COMPANY (OR THE PARENT OR SUBSIDIARY EMPLOYING OR RETAINING PARTICIPANT) AND NOT THROUGH THE ACT OF BEING HIRED, BEING GRANTED THIS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5" w:lineRule="exact"/>
        <w:rPr>
          <w:rFonts w:ascii="Times New Roman" w:cs="Times New Roman" w:eastAsia="Times New Roman" w:hAnsi="Times New Roman"/>
          <w:sz w:val="18"/>
          <w:szCs w:val="18"/>
          <w:color w:val="auto"/>
        </w:rPr>
      </w:pPr>
    </w:p>
    <w:p>
      <w:pPr>
        <w:ind w:left="-757" w:right="180" w:firstLine="757"/>
        <w:spacing w:after="0" w:line="259" w:lineRule="auto"/>
        <w:tabs>
          <w:tab w:leader="none" w:pos="5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interpretation and application of the Plan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or this Agreement.</w:t>
      </w:r>
    </w:p>
    <w:p>
      <w:pPr>
        <w:spacing w:after="0" w:line="179" w:lineRule="exact"/>
        <w:rPr>
          <w:rFonts w:ascii="Times New Roman" w:cs="Times New Roman" w:eastAsia="Times New Roman" w:hAnsi="Times New Roman"/>
          <w:sz w:val="18"/>
          <w:szCs w:val="18"/>
          <w:color w:val="auto"/>
        </w:rPr>
      </w:pPr>
    </w:p>
    <w:p>
      <w:pPr>
        <w:ind w:left="-757" w:right="40" w:firstLine="757"/>
        <w:spacing w:after="0" w:line="268" w:lineRule="auto"/>
        <w:tabs>
          <w:tab w:leader="none" w:pos="5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Administrator may accelerate the vesting of all or a portion of the RSUs in such circumstances as it, in its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may determine. Participant acknowledges that the RSUs are subject to adjustment, modification and termination in certain events as provided in this Agreement and the Plan, including Section 14 of the Plan.</w:t>
      </w:r>
    </w:p>
    <w:p>
      <w:pPr>
        <w:spacing w:after="0" w:line="170" w:lineRule="exact"/>
        <w:rPr>
          <w:rFonts w:ascii="Times New Roman" w:cs="Times New Roman" w:eastAsia="Times New Roman" w:hAnsi="Times New Roman"/>
          <w:sz w:val="18"/>
          <w:szCs w:val="18"/>
          <w:color w:val="auto"/>
        </w:rPr>
      </w:pPr>
    </w:p>
    <w:p>
      <w:pPr>
        <w:ind w:left="-757" w:right="380" w:firstLine="757"/>
        <w:spacing w:after="0" w:line="286" w:lineRule="auto"/>
        <w:tabs>
          <w:tab w:leader="none" w:pos="5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of the Company at the Company’s principal office,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854075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119" w:name="page120"/>
    <w:bookmarkEnd w:id="119"/>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notice to be given to Participant shall be addressed to Participant at Participant’s address set forth below. By a notice given pursuant to this Section 1(L),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Subject to the limitations set forth in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Participant consents to the delivery of any notice to Participant given by the Company under the DGCL or the Company’s certificate of incorporation or bylaws by (i) facsimile telecommunication to the facsimile number for Participant in the Company’s records, (ii) electronic mail to the electronic mail address for Participant in the Company’s records, (iii) posting on an electronic network together with separate notice to Participant of such specific posting or (iv) any other form of electronic transmission (as defined in the DGCL) directed to Participant. This consent may be revoked by Participant by written notice to the Company and may be deemed revoked in the circumstances specified in Section 232 of the DGCL.</w:t>
      </w:r>
    </w:p>
    <w:p>
      <w:pPr>
        <w:spacing w:after="0" w:line="184" w:lineRule="exact"/>
        <w:rPr>
          <w:sz w:val="20"/>
          <w:szCs w:val="20"/>
          <w:color w:val="auto"/>
        </w:rPr>
      </w:pPr>
    </w:p>
    <w:p>
      <w:pPr>
        <w:ind w:right="100" w:firstLine="757"/>
        <w:spacing w:after="0" w:line="262" w:lineRule="auto"/>
        <w:tabs>
          <w:tab w:leader="none" w:pos="13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Conformity to Securities Laws</w:t>
      </w:r>
      <w:r>
        <w:rPr>
          <w:rFonts w:ascii="Times New Roman" w:cs="Times New Roman" w:eastAsia="Times New Roman" w:hAnsi="Times New Roman"/>
          <w:sz w:val="18"/>
          <w:szCs w:val="18"/>
          <w:color w:val="auto"/>
        </w:rPr>
        <w:t>. Participant acknowledges that the Plan and this Agreement are intended to conform, to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RSUs are granted, only in such a manner as to conform to such Applicable Law.</w:t>
      </w:r>
    </w:p>
    <w:p>
      <w:pPr>
        <w:spacing w:after="0" w:line="176" w:lineRule="exact"/>
        <w:rPr>
          <w:rFonts w:ascii="Times New Roman" w:cs="Times New Roman" w:eastAsia="Times New Roman" w:hAnsi="Times New Roman"/>
          <w:sz w:val="18"/>
          <w:szCs w:val="18"/>
          <w:color w:val="auto"/>
        </w:rPr>
      </w:pPr>
    </w:p>
    <w:p>
      <w:pPr>
        <w:ind w:firstLine="757"/>
        <w:spacing w:after="0" w:line="259" w:lineRule="auto"/>
        <w:tabs>
          <w:tab w:leader="none" w:pos="1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16 of the Exchange Act,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ind w:right="60" w:firstLine="757"/>
        <w:spacing w:after="0" w:line="291" w:lineRule="auto"/>
        <w:tabs>
          <w:tab w:leader="none" w:pos="132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shall inure to the benefit of the successors and assigns of the Company. Subject to the restrictions on transfer set forth in Section 1(G) and the Plan,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17"/>
          <w:szCs w:val="17"/>
          <w:color w:val="auto"/>
        </w:rPr>
      </w:pPr>
    </w:p>
    <w:p>
      <w:pPr>
        <w:ind w:right="80" w:firstLine="757"/>
        <w:spacing w:after="0" w:line="262" w:lineRule="auto"/>
        <w:tabs>
          <w:tab w:leader="none" w:pos="13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UNIT AGREEMENT</w:t>
      </w:r>
    </w:p>
    <w:p>
      <w:pPr>
        <w:spacing w:after="0" w:line="200" w:lineRule="exact"/>
        <w:rPr>
          <w:sz w:val="20"/>
          <w:szCs w:val="20"/>
          <w:color w:val="auto"/>
        </w:rPr>
      </w:pP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Participant:</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###PARTICIPANT_NAME###</w:t>
            </w:r>
          </w:p>
        </w:tc>
      </w:tr>
      <w:tr>
        <w:trPr>
          <w:trHeight w:val="345"/>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###HOME_ADDRESS###</w:t>
            </w:r>
          </w:p>
        </w:tc>
      </w:tr>
      <w:tr>
        <w:trPr>
          <w:trHeight w:val="362"/>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###GRANT_DATE###</w:t>
            </w:r>
          </w:p>
        </w:tc>
      </w:tr>
      <w:tr>
        <w:trPr>
          <w:trHeight w:val="266"/>
        </w:trPr>
        <w:tc>
          <w:tcPr>
            <w:tcW w:w="5140" w:type="dxa"/>
            <w:vAlign w:val="bottom"/>
          </w:tcPr>
          <w:p>
            <w:pPr>
              <w:spacing w:after="0"/>
              <w:rPr>
                <w:sz w:val="23"/>
                <w:szCs w:val="23"/>
                <w:color w:val="auto"/>
              </w:rPr>
            </w:pPr>
          </w:p>
        </w:tc>
        <w:tc>
          <w:tcPr>
            <w:tcW w:w="5360" w:type="dxa"/>
            <w:vAlign w:val="bottom"/>
            <w:tcBorders>
              <w:bottom w:val="single" w:sz="8" w:color="auto"/>
            </w:tcBorders>
          </w:tcPr>
          <w:p>
            <w:pPr>
              <w:spacing w:after="0"/>
              <w:rPr>
                <w:sz w:val="23"/>
                <w:szCs w:val="23"/>
                <w:color w:val="auto"/>
              </w:rPr>
            </w:pPr>
          </w:p>
        </w:tc>
      </w:tr>
      <w:tr>
        <w:trPr>
          <w:trHeight w:val="345"/>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Number of Restricted Stock Units:</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###TOTAL_AWARDS###</w:t>
            </w:r>
          </w:p>
        </w:tc>
      </w:tr>
      <w:tr>
        <w:trPr>
          <w:trHeight w:val="348"/>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Shares Issuable on Vesting:</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r>
      <w:tr>
        <w:trPr>
          <w:trHeight w:val="311"/>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Vesting Schedule</w:t>
            </w:r>
            <w:r>
              <w:rPr>
                <w:rFonts w:ascii="Times New Roman" w:cs="Times New Roman" w:eastAsia="Times New Roman" w:hAnsi="Times New Roman"/>
                <w:sz w:val="14"/>
                <w:szCs w:val="14"/>
                <w:color w:val="auto"/>
              </w:rPr>
              <w:t>:</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RSUs shall vest according to the following vesting schedule: 25% of the RSUs shall</w:t>
            </w:r>
          </w:p>
        </w:tc>
      </w:tr>
      <w:tr>
        <w:trPr>
          <w:trHeight w:val="148"/>
        </w:trPr>
        <w:tc>
          <w:tcPr>
            <w:tcW w:w="5140" w:type="dxa"/>
            <w:vAlign w:val="bottom"/>
          </w:tcPr>
          <w:p>
            <w:pPr>
              <w:spacing w:after="0"/>
              <w:rPr>
                <w:sz w:val="12"/>
                <w:szCs w:val="12"/>
                <w:color w:val="auto"/>
              </w:rPr>
            </w:pPr>
          </w:p>
        </w:tc>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 two (2) days after the date of grant. The remaining RSUs shall vest in equal</w:t>
            </w:r>
          </w:p>
        </w:tc>
      </w:tr>
      <w:tr>
        <w:trPr>
          <w:trHeight w:val="148"/>
        </w:trPr>
        <w:tc>
          <w:tcPr>
            <w:tcW w:w="5140" w:type="dxa"/>
            <w:vAlign w:val="bottom"/>
          </w:tcPr>
          <w:p>
            <w:pPr>
              <w:spacing w:after="0"/>
              <w:rPr>
                <w:sz w:val="12"/>
                <w:szCs w:val="12"/>
                <w:color w:val="auto"/>
              </w:rPr>
            </w:pPr>
          </w:p>
        </w:tc>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increments every three (3) months thereafter (beginning on the first calendar day of the</w:t>
            </w:r>
          </w:p>
        </w:tc>
      </w:tr>
      <w:tr>
        <w:trPr>
          <w:trHeight w:val="148"/>
        </w:trPr>
        <w:tc>
          <w:tcPr>
            <w:tcW w:w="5140" w:type="dxa"/>
            <w:vAlign w:val="bottom"/>
          </w:tcPr>
          <w:p>
            <w:pPr>
              <w:spacing w:after="0"/>
              <w:rPr>
                <w:sz w:val="12"/>
                <w:szCs w:val="12"/>
                <w:color w:val="auto"/>
              </w:rPr>
            </w:pPr>
          </w:p>
        </w:tc>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month following the date that is three months following the date of grant) for three (3)</w:t>
            </w:r>
          </w:p>
        </w:tc>
      </w:tr>
      <w:tr>
        <w:trPr>
          <w:trHeight w:val="149"/>
        </w:trPr>
        <w:tc>
          <w:tcPr>
            <w:tcW w:w="5140" w:type="dxa"/>
            <w:vAlign w:val="bottom"/>
          </w:tcPr>
          <w:p>
            <w:pPr>
              <w:spacing w:after="0"/>
              <w:rPr>
                <w:sz w:val="12"/>
                <w:szCs w:val="12"/>
                <w:color w:val="auto"/>
              </w:rPr>
            </w:pPr>
          </w:p>
        </w:tc>
        <w:tc>
          <w:tcPr>
            <w:tcW w:w="5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years, until such RSU is vested in full on the first day of the calendar month following the</w:t>
            </w:r>
          </w:p>
        </w:tc>
      </w:tr>
      <w:tr>
        <w:trPr>
          <w:trHeight w:val="188"/>
        </w:trPr>
        <w:tc>
          <w:tcPr>
            <w:tcW w:w="5140" w:type="dxa"/>
            <w:vAlign w:val="bottom"/>
          </w:tcPr>
          <w:p>
            <w:pPr>
              <w:spacing w:after="0"/>
              <w:rPr>
                <w:sz w:val="16"/>
                <w:szCs w:val="16"/>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(3) year anniversary of the date of grant.</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240" w:firstLine="749"/>
        <w:spacing w:after="0" w:line="270" w:lineRule="auto"/>
        <w:rPr>
          <w:sz w:val="20"/>
          <w:szCs w:val="20"/>
          <w:color w:val="auto"/>
        </w:rPr>
      </w:pPr>
      <w:r>
        <w:rPr>
          <w:rFonts w:ascii="Times New Roman" w:cs="Times New Roman" w:eastAsia="Times New Roman" w:hAnsi="Times New Roman"/>
          <w:sz w:val="17"/>
          <w:szCs w:val="17"/>
          <w:color w:val="auto"/>
        </w:rPr>
        <w:t>The Company and the Participant acknowledge receipt of this Notice of Restricted Stock Unit Grant and agree to the terms and conditions of the Restricted Stock Unit Agreement attached hereto and incorporated by reference herein, the Company’s 2020 Equity Incentive Plan and the terms of this Notice of Restricted Stock Unit Grant as set forth above. In addition, the Participant acknowledges and agrees that the Performance Share Unit Agreement, effective as of _____, 2022, between the parties, and the ______ Performance Share Units granted thereunder, are hereby terminated and</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cancelled in their entirety, effective immediately, and the Company has no further obligations, and the Participant has no further entitlements, with respect to such Performance Share Units.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AMERICAN WELL CORP</w:t>
            </w:r>
          </w:p>
        </w:tc>
        <w:tc>
          <w:tcPr>
            <w:tcW w:w="83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392"/>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s/o Roy Schoenberg</w:t>
            </w:r>
          </w:p>
        </w:tc>
        <w:tc>
          <w:tcPr>
            <w:tcW w:w="83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By:</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1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 Schoenberg</w:t>
            </w:r>
          </w:p>
        </w:tc>
        <w:tc>
          <w:tcPr>
            <w:tcW w:w="83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Name:   ###PARTICIPANT_NAME###</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CEO</w:t>
            </w: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2302"/>
        </w:trPr>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 - INCORPORATED TERMS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w:t>
      </w:r>
    </w:p>
    <w:p>
      <w:pPr>
        <w:spacing w:after="0" w:line="203" w:lineRule="exact"/>
        <w:rPr>
          <w:sz w:val="20"/>
          <w:szCs w:val="20"/>
          <w:color w:val="auto"/>
        </w:rPr>
      </w:pPr>
    </w:p>
    <w:p>
      <w:pPr>
        <w:ind w:right="60" w:firstLine="757"/>
        <w:spacing w:after="0" w:line="254" w:lineRule="auto"/>
        <w:tabs>
          <w:tab w:leader="none" w:pos="1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 of RSUs</w:t>
      </w:r>
      <w:r>
        <w:rPr>
          <w:rFonts w:ascii="Times New Roman" w:cs="Times New Roman" w:eastAsia="Times New Roman" w:hAnsi="Times New Roman"/>
          <w:sz w:val="18"/>
          <w:szCs w:val="18"/>
          <w:color w:val="auto"/>
        </w:rPr>
        <w:t>. American Well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Participant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Agreement (the “</w:t>
      </w:r>
      <w:r>
        <w:rPr>
          <w:rFonts w:ascii="Times New Roman" w:cs="Times New Roman" w:eastAsia="Times New Roman" w:hAnsi="Times New Roman"/>
          <w:sz w:val="18"/>
          <w:szCs w:val="18"/>
          <w:b w:val="1"/>
          <w:bCs w:val="1"/>
          <w:color w:val="auto"/>
        </w:rPr>
        <w:t>Notice of RSU Grant</w:t>
      </w:r>
      <w:r>
        <w:rPr>
          <w:rFonts w:ascii="Times New Roman" w:cs="Times New Roman" w:eastAsia="Times New Roman" w:hAnsi="Times New Roman"/>
          <w:sz w:val="18"/>
          <w:szCs w:val="18"/>
          <w:color w:val="auto"/>
        </w:rPr>
        <w:t>”), in consideration of Participant’s past and/or continued employment with or service to the Company or a Subsidiary and for other good and valuable consideration, effective as of the date of grant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set forth in the Notice of RSU Grant the number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set forth in the Notice of RSU Grant, upon the terms and conditions set forth in the Company’s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herein by reference, and this Agreement, subject to adjustment as provided in Section 14 of the Plan. Each RSU represents the right to receive one Share, at the times and subject to the conditions set forth herein. However, unless and until the RSUs have vested, Participant will have no right to the issuance of any Shares subject thereto. Prior to the actual delivery of any Shares, the RSUs will represent an unsecured obligation of the Company, payable only from the general assets of the Company. Unless otherwise defined herein or in the Notice of RSU Grant, the terms defined in the Plan shall have the same defined meanings in 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757"/>
        <w:spacing w:after="0" w:line="257" w:lineRule="auto"/>
        <w:tabs>
          <w:tab w:leader="none" w:pos="12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Vesting of RSUs</w:t>
      </w:r>
      <w:r>
        <w:rPr>
          <w:rFonts w:ascii="Times New Roman" w:cs="Times New Roman" w:eastAsia="Times New Roman" w:hAnsi="Times New Roman"/>
          <w:sz w:val="18"/>
          <w:szCs w:val="18"/>
          <w:color w:val="auto"/>
        </w:rPr>
        <w:t>. Subject to Participant’s continued employment with or service to the Company or a Subsidiary on each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vesting date set forth in the Notice of RSU Grant, and subject to the terms of this Agreement, the RSUs shall vest in such amounts and at such times as are set forth in the Notice of RSU Grant. In the event Participant incurs a Termination of Service, except as may be otherwise provided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209" w:lineRule="exact"/>
        <w:rPr>
          <w:rFonts w:ascii="Times New Roman" w:cs="Times New Roman" w:eastAsia="Times New Roman" w:hAnsi="Times New Roman"/>
          <w:sz w:val="18"/>
          <w:szCs w:val="18"/>
          <w:color w:val="auto"/>
        </w:rPr>
      </w:pPr>
    </w:p>
    <w:p>
      <w:pPr>
        <w:ind w:left="1240" w:hanging="48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or Payment of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60" w:firstLine="745"/>
        <w:spacing w:after="0" w:line="254" w:lineRule="auto"/>
        <w:tabs>
          <w:tab w:leader="none" w:pos="212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RSUs shall be distributed in Shares (either in book-entry form or otherwise) as soon as administratively practicable following the vesting of the applicable RSU pursuant to this Agreement and, in any event, within sixty (60) days following such vesting (for the avoidance of doubt, this deadline is intended to comply with the “short-term deferral” exemption from Section 409A). Notwithstanding the foregoing, the Company may delay a distribution or payment in settlement of RSUs if it reasonably determines that such payment or distribution will violate federal securities laws or any other Applicable Law, provided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(C)(1) if such delay will result in the RSUs becoming subject to or in a violation of Section 409A.</w:t>
      </w:r>
    </w:p>
    <w:p>
      <w:pPr>
        <w:spacing w:after="0" w:line="191" w:lineRule="exact"/>
        <w:rPr>
          <w:rFonts w:ascii="Times New Roman" w:cs="Times New Roman" w:eastAsia="Times New Roman" w:hAnsi="Times New Roman"/>
          <w:sz w:val="18"/>
          <w:szCs w:val="18"/>
          <w:color w:val="auto"/>
        </w:rPr>
      </w:pPr>
    </w:p>
    <w:p>
      <w:pPr>
        <w:ind w:left="2120" w:hanging="615"/>
        <w:spacing w:after="0"/>
        <w:tabs>
          <w:tab w:leader="none" w:pos="2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made in Shares shall be made by the Company in the form of whole Shares.</w:t>
      </w:r>
    </w:p>
    <w:p>
      <w:pPr>
        <w:spacing w:after="0" w:line="225" w:lineRule="exact"/>
        <w:rPr>
          <w:rFonts w:ascii="Times New Roman" w:cs="Times New Roman" w:eastAsia="Times New Roman" w:hAnsi="Times New Roman"/>
          <w:sz w:val="18"/>
          <w:szCs w:val="18"/>
          <w:color w:val="auto"/>
        </w:rPr>
      </w:pPr>
    </w:p>
    <w:p>
      <w:pPr>
        <w:ind w:right="140" w:firstLine="757"/>
        <w:spacing w:after="0" w:line="255" w:lineRule="auto"/>
        <w:tabs>
          <w:tab w:leader="none" w:pos="123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Issuance of Stock</w:t>
      </w:r>
      <w:r>
        <w:rPr>
          <w:rFonts w:ascii="Times New Roman" w:cs="Times New Roman" w:eastAsia="Times New Roman" w:hAnsi="Times New Roman"/>
          <w:sz w:val="18"/>
          <w:szCs w:val="18"/>
          <w:color w:val="auto"/>
        </w:rPr>
        <w:t>. The Company shall not be required to issue or deliver any certificate or certificates for any Shares or to cause any Shares to be held in book-entry form prior to the fulfillment of any or all of the following conditions: (a) the admission of the Shares to listing on all stock exchanges on which such Shares are then listed, (b) the completion of any registration or other qualification or exemption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by the Company of any tax obligations due on issuance of such Shares, which may be in one or more of the forms of consideration permitted under Section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ind w:left="603" w:hanging="603"/>
        <w:spacing w:after="0"/>
        <w:tabs>
          <w:tab w:leader="none" w:pos="6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 w:right="140" w:firstLine="745"/>
        <w:spacing w:after="0" w:line="256" w:lineRule="auto"/>
        <w:tabs>
          <w:tab w:leader="none" w:pos="14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Parent or Subsidiary employing or retaining Participant) has the authority to deduct or withhold, or require Participant to remit to the applicable employing entity, an amount sufficient to satisfy any applicable federal, state, local and foreign income and employment tax withholding requirements (including the employee portion of any FICA obligation) applicable to the issuance of Shares pursuant to the RSUs or with respect to any taxable event arising pursuant to this Agreement. The Company (or its Parent or Subsidiary, as applicable) may withhold, or if the Participant is subject to Section 16 of the Exchange Act, the Participant shall be permitted to instruct the Company to withhold, such payment in one or more of the following forms:</w:t>
      </w:r>
    </w:p>
    <w:p>
      <w:pPr>
        <w:spacing w:after="0" w:line="187" w:lineRule="exact"/>
        <w:rPr>
          <w:rFonts w:ascii="Times New Roman" w:cs="Times New Roman" w:eastAsia="Times New Roman" w:hAnsi="Times New Roman"/>
          <w:sz w:val="18"/>
          <w:szCs w:val="18"/>
          <w:color w:val="auto"/>
        </w:rPr>
      </w:pPr>
    </w:p>
    <w:p>
      <w:pPr>
        <w:ind w:left="1883" w:hanging="386"/>
        <w:spacing w:after="0"/>
        <w:tabs>
          <w:tab w:leader="none" w:pos="188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w:t>
      </w:r>
    </w:p>
    <w:p>
      <w:pPr>
        <w:spacing w:after="0" w:line="225" w:lineRule="exact"/>
        <w:rPr>
          <w:rFonts w:ascii="Times New Roman" w:cs="Times New Roman" w:eastAsia="Times New Roman" w:hAnsi="Times New Roman"/>
          <w:sz w:val="18"/>
          <w:szCs w:val="18"/>
          <w:color w:val="auto"/>
        </w:rPr>
      </w:pPr>
    </w:p>
    <w:p>
      <w:pPr>
        <w:ind w:left="743" w:firstLine="754"/>
        <w:spacing w:after="0" w:line="258" w:lineRule="auto"/>
        <w:tabs>
          <w:tab w:leader="none" w:pos="1847"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electing to have withheld the net number of Shares otherwise issuable pursuant to the RSUs having a then current Fair Market Value not exceeding the amount necessary to satisfy the withholding obligation of the Company (or its Parent or Subsidiary, as applicable) based on the maximum statutory withholding rates in Participant’s applicable jurisdictions for federal, state, local and foreign income tax and payroll tax purposes that are applicable to such taxable income;</w:t>
      </w:r>
    </w:p>
    <w:p>
      <w:pPr>
        <w:spacing w:after="0" w:line="210" w:lineRule="exact"/>
        <w:rPr>
          <w:rFonts w:ascii="Times New Roman" w:cs="Times New Roman" w:eastAsia="Times New Roman" w:hAnsi="Times New Roman"/>
          <w:sz w:val="18"/>
          <w:szCs w:val="18"/>
          <w:color w:val="auto"/>
        </w:rPr>
      </w:pPr>
    </w:p>
    <w:p>
      <w:pPr>
        <w:ind w:left="743" w:right="80" w:firstLine="754"/>
        <w:spacing w:after="0" w:line="258" w:lineRule="auto"/>
        <w:tabs>
          <w:tab w:leader="none" w:pos="1987"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(or its Parent or Subsidiary, as applicable) based on the maximum statutory withholding rates in Participant’s applicable jurisdictions for federal, state, local and foreign income tax and payroll tax purposes that are applicable to such taxable income; or</w:t>
      </w:r>
    </w:p>
    <w:p>
      <w:pPr>
        <w:spacing w:after="0" w:line="183" w:lineRule="exact"/>
        <w:rPr>
          <w:rFonts w:ascii="Times New Roman" w:cs="Times New Roman" w:eastAsia="Times New Roman" w:hAnsi="Times New Roman"/>
          <w:sz w:val="18"/>
          <w:szCs w:val="18"/>
          <w:color w:val="auto"/>
        </w:rPr>
      </w:pPr>
    </w:p>
    <w:p>
      <w:pPr>
        <w:jc w:val="both"/>
        <w:ind w:left="743" w:right="340" w:firstLine="754"/>
        <w:spacing w:after="0" w:line="266" w:lineRule="auto"/>
        <w:tabs>
          <w:tab w:leader="none" w:pos="184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selling a sufficient number of Shares otherwise deliverable to Participant through such means as the Administrator may determine in its sole discretion (whether through a broker or otherwise) equal to the amount required to satisfy such withholding taxes.</w:t>
      </w:r>
    </w:p>
    <w:p>
      <w:pPr>
        <w:spacing w:after="0" w:line="176" w:lineRule="exact"/>
        <w:rPr>
          <w:sz w:val="20"/>
          <w:szCs w:val="20"/>
          <w:color w:val="auto"/>
        </w:rPr>
      </w:pPr>
    </w:p>
    <w:p>
      <w:pPr>
        <w:ind w:left="743" w:right="180" w:firstLine="749"/>
        <w:spacing w:after="0" w:line="266" w:lineRule="auto"/>
        <w:rPr>
          <w:sz w:val="20"/>
          <w:szCs w:val="20"/>
          <w:color w:val="auto"/>
        </w:rPr>
      </w:pPr>
      <w:r>
        <w:rPr>
          <w:rFonts w:ascii="Times New Roman" w:cs="Times New Roman" w:eastAsia="Times New Roman" w:hAnsi="Times New Roman"/>
          <w:sz w:val="18"/>
          <w:szCs w:val="18"/>
          <w:color w:val="auto"/>
        </w:rPr>
        <w:t>Participant acknowledges and agrees that the Company may refuse to deliver the Shares issuable with respect to the RSUs to, or cause any such Shares to be held in book-entry form by, Participant or his or her legal representative if such withholding amounts are not timely delivered in full pursuant to this Section (E)(1).</w:t>
      </w:r>
    </w:p>
    <w:p>
      <w:pPr>
        <w:spacing w:after="0" w:line="176" w:lineRule="exact"/>
        <w:rPr>
          <w:sz w:val="20"/>
          <w:szCs w:val="20"/>
          <w:color w:val="auto"/>
        </w:rPr>
      </w:pPr>
    </w:p>
    <w:p>
      <w:pPr>
        <w:ind w:left="3" w:firstLine="745"/>
        <w:spacing w:after="0" w:line="255" w:lineRule="auto"/>
        <w:tabs>
          <w:tab w:leader="none" w:pos="14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Award is not intended to constitute “nonqualified deferred compensation” within the meaning of Code Section 409A. However, notwithstanding any other provision of the Plan or this Agreement, if, at any time, the Administrator determines that this Award (or any portion thereof) may be subject to Code Section 409A, the Administrator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Code Section 409A or to comply with the requirements of Code Section 409A.</w:t>
      </w:r>
    </w:p>
    <w:p>
      <w:pPr>
        <w:spacing w:after="0" w:line="188" w:lineRule="exact"/>
        <w:rPr>
          <w:rFonts w:ascii="Times New Roman" w:cs="Times New Roman" w:eastAsia="Times New Roman" w:hAnsi="Times New Roman"/>
          <w:sz w:val="18"/>
          <w:szCs w:val="18"/>
          <w:color w:val="auto"/>
        </w:rPr>
      </w:pPr>
    </w:p>
    <w:p>
      <w:pPr>
        <w:jc w:val="both"/>
        <w:ind w:left="3" w:right="200" w:firstLine="745"/>
        <w:spacing w:after="0" w:line="258" w:lineRule="auto"/>
        <w:tabs>
          <w:tab w:leader="none" w:pos="14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Participant is ultimately liable and responsible for all taxes owed in connection with the RSUs, regardless of any action the Company or any of its Parents or Subsidiaries takes with respect to any tax withholding obligations that arise in connection with the RSUs. Neither the Company nor any of its Parents or Subsidiaries makes any representation or undertaking regarding the treatment of any tax withholding in connection with the awarding, vesting or payment of the RSUs or the subsequent sale of Shares. The Company and its Parents and Subsidiaries do not commit and are under no obligation to structure the RSUs to reduce or eliminate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1007110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3" w:right="359" w:bottom="1440" w:gutter="0" w:footer="0" w:header="0"/>
        </w:sectPr>
      </w:pPr>
    </w:p>
    <w:bookmarkStart w:id="123" w:name="page124"/>
    <w:bookmarkEnd w:id="123"/>
    <w:p>
      <w:pPr>
        <w:ind w:left="-757" w:firstLine="757"/>
        <w:spacing w:after="0" w:line="257" w:lineRule="auto"/>
        <w:tabs>
          <w:tab w:leader="none" w:pos="5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757" w:right="40" w:firstLine="757"/>
        <w:spacing w:after="0" w:line="255" w:lineRule="auto"/>
        <w:tabs>
          <w:tab w:leader="none" w:pos="5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RSUs Not Transferable</w:t>
      </w:r>
      <w:r>
        <w:rPr>
          <w:rFonts w:ascii="Times New Roman" w:cs="Times New Roman" w:eastAsia="Times New Roman" w:hAnsi="Times New Roman"/>
          <w:sz w:val="18"/>
          <w:szCs w:val="18"/>
          <w:color w:val="auto"/>
        </w:rPr>
        <w:t>. The RSUs may not be sold, pledged, assigned or transferred in any manner other than by will or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85" w:lineRule="exact"/>
        <w:rPr>
          <w:sz w:val="20"/>
          <w:szCs w:val="20"/>
          <w:color w:val="auto"/>
        </w:rPr>
      </w:pPr>
    </w:p>
    <w:p>
      <w:pPr>
        <w:ind w:left="-757" w:right="20" w:firstLine="757"/>
        <w:spacing w:after="0" w:line="259" w:lineRule="auto"/>
        <w:tabs>
          <w:tab w:leader="none" w:pos="5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 Governing Law</w:t>
      </w:r>
      <w:r>
        <w:rPr>
          <w:rFonts w:ascii="Times New Roman" w:cs="Times New Roman" w:eastAsia="Times New Roman" w:hAnsi="Times New Roman"/>
          <w:sz w:val="18"/>
          <w:szCs w:val="18"/>
          <w:color w:val="auto"/>
        </w:rPr>
        <w:t>. The Plan is incorporated herein by reference. The Plan and this Agreement constitute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the parties with respect to the subject matter hereof and supersede in their entirety all prior undertakings and agreements of the Company and Participant with respect to the subject matter hereof, except as may otherwise be set forth in the Participant’s employment agreement or offer letter with the Company, and may not be modified adversely to the Participant’s interest except by means of a writing signed by the Company and Participant or as is otherwise permitted under the Plan. This Agreement is governed by the internal substantive laws but not the choice of law rules of State of Delaware.</w:t>
      </w:r>
    </w:p>
    <w:p>
      <w:pPr>
        <w:spacing w:after="0" w:line="179" w:lineRule="exact"/>
        <w:rPr>
          <w:sz w:val="20"/>
          <w:szCs w:val="20"/>
          <w:color w:val="auto"/>
        </w:rPr>
      </w:pPr>
    </w:p>
    <w:p>
      <w:pPr>
        <w:ind w:left="-757" w:right="80" w:firstLine="757"/>
        <w:spacing w:after="0" w:line="254" w:lineRule="auto"/>
        <w:tabs>
          <w:tab w:leader="none" w:pos="5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Guarantee of Continued Service</w:t>
      </w:r>
      <w:r>
        <w:rPr>
          <w:rFonts w:ascii="Times New Roman" w:cs="Times New Roman" w:eastAsia="Times New Roman" w:hAnsi="Times New Roman"/>
          <w:sz w:val="18"/>
          <w:szCs w:val="18"/>
          <w:color w:val="auto"/>
        </w:rPr>
        <w:t>. PARTICIPANT ACKNOWLEDGES AND AGREES THAT THE VESTING OF 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VESTING SCHEDULE HEREOF AND ISSUANCE OF SHARES PURSUANT THERETO IS EARNED ONLY BY CONTINUING AS A SERVICE PROVIDER AT THE WILL OF THE COMPANY (OR THE PARENT OR SUBSIDIARY EMPLOYING OR RETAINING PARTICIPANT) AND NOT THROUGH THE ACT OF BEING HIRED, BEING GRANTED THIS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5" w:lineRule="exact"/>
        <w:rPr>
          <w:rFonts w:ascii="Times New Roman" w:cs="Times New Roman" w:eastAsia="Times New Roman" w:hAnsi="Times New Roman"/>
          <w:sz w:val="18"/>
          <w:szCs w:val="18"/>
          <w:color w:val="auto"/>
        </w:rPr>
      </w:pPr>
    </w:p>
    <w:p>
      <w:pPr>
        <w:ind w:left="-757" w:right="180" w:firstLine="757"/>
        <w:spacing w:after="0" w:line="259" w:lineRule="auto"/>
        <w:tabs>
          <w:tab w:leader="none" w:pos="5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interpretation and application of the Plan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or this Agreement.</w:t>
      </w:r>
    </w:p>
    <w:p>
      <w:pPr>
        <w:spacing w:after="0" w:line="179" w:lineRule="exact"/>
        <w:rPr>
          <w:rFonts w:ascii="Times New Roman" w:cs="Times New Roman" w:eastAsia="Times New Roman" w:hAnsi="Times New Roman"/>
          <w:sz w:val="18"/>
          <w:szCs w:val="18"/>
          <w:color w:val="auto"/>
        </w:rPr>
      </w:pPr>
    </w:p>
    <w:p>
      <w:pPr>
        <w:ind w:left="-757" w:right="40" w:firstLine="757"/>
        <w:spacing w:after="0" w:line="268" w:lineRule="auto"/>
        <w:tabs>
          <w:tab w:leader="none" w:pos="5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Administrator may accelerate the vesting of all or a portion of the RSUs in such circumstances as it, in its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may determine. Participant acknowledges that the RSUs are subject to adjustment, modification and termination in certain events as provided in this Agreement and the Plan, including Section 14 of the Plan.</w:t>
      </w:r>
    </w:p>
    <w:p>
      <w:pPr>
        <w:spacing w:after="0" w:line="170" w:lineRule="exact"/>
        <w:rPr>
          <w:rFonts w:ascii="Times New Roman" w:cs="Times New Roman" w:eastAsia="Times New Roman" w:hAnsi="Times New Roman"/>
          <w:sz w:val="18"/>
          <w:szCs w:val="18"/>
          <w:color w:val="auto"/>
        </w:rPr>
      </w:pPr>
    </w:p>
    <w:p>
      <w:pPr>
        <w:ind w:left="-757" w:right="380" w:firstLine="757"/>
        <w:spacing w:after="0" w:line="286" w:lineRule="auto"/>
        <w:tabs>
          <w:tab w:leader="none" w:pos="5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of the Company at the Company’s principal office,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854075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3" w:right="359" w:bottom="1440" w:gutter="0" w:footer="0" w:header="0"/>
        </w:sectPr>
      </w:pPr>
    </w:p>
    <w:bookmarkStart w:id="124" w:name="page125"/>
    <w:bookmarkEnd w:id="124"/>
    <w:p>
      <w:pPr>
        <w:spacing w:after="0" w:line="254" w:lineRule="auto"/>
        <w:rPr>
          <w:sz w:val="20"/>
          <w:szCs w:val="20"/>
          <w:color w:val="auto"/>
        </w:rPr>
      </w:pPr>
      <w:r>
        <w:rPr>
          <w:rFonts w:ascii="Times New Roman" w:cs="Times New Roman" w:eastAsia="Times New Roman" w:hAnsi="Times New Roman"/>
          <w:sz w:val="18"/>
          <w:szCs w:val="18"/>
          <w:color w:val="auto"/>
        </w:rPr>
        <w:t>notice to be given to Participant shall be addressed to Participant at Participant’s address set forth below. By a notice given pursuant to this Section 1(L),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Subject to the limitations set forth in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Participant consents to the delivery of any notice to Participant given by the Company under the DGCL or the Company’s certificate of incorporation or bylaws by (i) facsimile telecommunication to the facsimile number for Participant in the Company’s records, (ii) electronic mail to the electronic mail address for Participant in the Company’s records, (iii) posting on an electronic network together with separate notice to Participant of such specific posting or (iv) any other form of electronic transmission (as defined in the DGCL) directed to Participant. This consent may be revoked by Participant by written notice to the Company and may be deemed revoked in the circumstances specified in Section 232 of the DGCL.</w:t>
      </w:r>
    </w:p>
    <w:p>
      <w:pPr>
        <w:spacing w:after="0" w:line="184" w:lineRule="exact"/>
        <w:rPr>
          <w:sz w:val="20"/>
          <w:szCs w:val="20"/>
          <w:color w:val="auto"/>
        </w:rPr>
      </w:pPr>
    </w:p>
    <w:p>
      <w:pPr>
        <w:ind w:right="100" w:firstLine="757"/>
        <w:spacing w:after="0" w:line="262" w:lineRule="auto"/>
        <w:tabs>
          <w:tab w:leader="none" w:pos="13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Conformity to Securities Laws</w:t>
      </w:r>
      <w:r>
        <w:rPr>
          <w:rFonts w:ascii="Times New Roman" w:cs="Times New Roman" w:eastAsia="Times New Roman" w:hAnsi="Times New Roman"/>
          <w:sz w:val="18"/>
          <w:szCs w:val="18"/>
          <w:color w:val="auto"/>
        </w:rPr>
        <w:t>. Participant acknowledges that the Plan and this Agreement are intended to conform, to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RSUs are granted, only in such a manner as to conform to such Applicable Law.</w:t>
      </w:r>
    </w:p>
    <w:p>
      <w:pPr>
        <w:spacing w:after="0" w:line="176" w:lineRule="exact"/>
        <w:rPr>
          <w:rFonts w:ascii="Times New Roman" w:cs="Times New Roman" w:eastAsia="Times New Roman" w:hAnsi="Times New Roman"/>
          <w:sz w:val="18"/>
          <w:szCs w:val="18"/>
          <w:color w:val="auto"/>
        </w:rPr>
      </w:pPr>
    </w:p>
    <w:p>
      <w:pPr>
        <w:ind w:firstLine="757"/>
        <w:spacing w:after="0" w:line="259" w:lineRule="auto"/>
        <w:tabs>
          <w:tab w:leader="none" w:pos="1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16 of the Exchange Act,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ind w:right="60" w:firstLine="757"/>
        <w:spacing w:after="0" w:line="291" w:lineRule="auto"/>
        <w:tabs>
          <w:tab w:leader="none" w:pos="132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shall inure to the benefit of the successors and assigns of the Company. Subject to the restrictions on transfer set forth in Section 1(G) and the Plan,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17"/>
          <w:szCs w:val="17"/>
          <w:color w:val="auto"/>
        </w:rPr>
      </w:pPr>
    </w:p>
    <w:p>
      <w:pPr>
        <w:ind w:right="80" w:firstLine="757"/>
        <w:spacing w:after="0" w:line="262" w:lineRule="auto"/>
        <w:tabs>
          <w:tab w:leader="none" w:pos="1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6680" w:type="dxa"/>
            <w:vAlign w:val="bottom"/>
            <w:gridSpan w:val="4"/>
          </w:tcPr>
          <w:p>
            <w:pPr>
              <w:spacing w:after="0" w:line="194" w:lineRule="exact"/>
              <w:rPr>
                <w:sz w:val="20"/>
                <w:szCs w:val="20"/>
                <w:color w:val="auto"/>
              </w:rPr>
            </w:pPr>
            <w:r>
              <w:rPr>
                <w:rFonts w:ascii="Calibri" w:cs="Calibri" w:eastAsia="Calibri" w:hAnsi="Calibri"/>
                <w:sz w:val="18"/>
                <w:szCs w:val="18"/>
                <w:b w:val="1"/>
                <w:bCs w:val="1"/>
                <w:color w:val="auto"/>
              </w:rPr>
              <w:t>Subsidiaries of the Registrant</w:t>
            </w:r>
          </w:p>
        </w:tc>
      </w:tr>
      <w:tr>
        <w:trPr>
          <w:trHeight w:val="632"/>
        </w:trPr>
        <w:tc>
          <w:tcPr>
            <w:tcW w:w="456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5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4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Aligned Telehealth, LLC</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Well Israel Ltd</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AMWELL Columbia SAS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Avizia LLC</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Telehealth Network, LLC</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 Health, LLC</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Holdings, LLC</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Ltd.</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UK Limited</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Inc</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Australia Pty LTD</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1775"/>
        </w:trPr>
        <w:tc>
          <w:tcPr>
            <w:tcW w:w="4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333-260157) and Form S-8 (No. 333-248894, No. 333-265834 and No. 333-274896) of American Well Corporation of our report dated February 15, 2024 relating to the financial statements and the effectiveness of internal controls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47" w:lineRule="exact"/>
        <w:rPr>
          <w:sz w:val="20"/>
          <w:szCs w:val="20"/>
          <w:color w:val="auto"/>
        </w:rPr>
      </w:pPr>
    </w:p>
    <w:p>
      <w:pPr>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Ido Schoenberg, certify that:</w:t>
      </w:r>
    </w:p>
    <w:p>
      <w:pPr>
        <w:spacing w:after="0" w:line="18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Well Corporation;</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Ido Schoenberg</w:t>
            </w:r>
          </w:p>
        </w:tc>
      </w:tr>
      <w:tr>
        <w:trPr>
          <w:trHeight w:val="205"/>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164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Roy Schoenberg, certify that:</w:t>
      </w:r>
    </w:p>
    <w:p>
      <w:pPr>
        <w:spacing w:after="0" w:line="185" w:lineRule="exact"/>
        <w:rPr>
          <w:sz w:val="20"/>
          <w:szCs w:val="20"/>
          <w:color w:val="auto"/>
        </w:rPr>
      </w:pPr>
    </w:p>
    <w:p>
      <w:pPr>
        <w:ind w:left="560" w:hanging="552"/>
        <w:spacing w:after="0"/>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Well Corporation;</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Schoenberg</w:t>
            </w:r>
          </w:p>
        </w:tc>
      </w:tr>
      <w:tr>
        <w:trPr>
          <w:trHeight w:val="205"/>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Roy Schoenberg</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164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Shepardson, certify that:</w:t>
      </w:r>
    </w:p>
    <w:p>
      <w:pPr>
        <w:spacing w:after="0" w:line="185"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Well Corporation;</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Shepardson</w:t>
            </w:r>
          </w:p>
        </w:tc>
      </w:tr>
      <w:tr>
        <w:trPr>
          <w:trHeight w:val="205"/>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Robert Shepardson</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164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Well Corporation (the “Company”) on Form 10-K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Ido Schoenberg</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Well Corporation (the “Company”) on Form 10-K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Schoenberg</w:t>
            </w:r>
          </w:p>
        </w:tc>
      </w:tr>
      <w:tr>
        <w:trPr>
          <w:trHeight w:val="205"/>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Roy Schoenberg</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1964"/>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Well Corporation (the “Company”) on Form 10-K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Shepardson</w:t>
            </w:r>
          </w:p>
        </w:tc>
      </w:tr>
      <w:tr>
        <w:trPr>
          <w:trHeight w:val="205"/>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Robert Shepardson</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640"/>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CORPORATION (AMWELL)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both"/>
        <w:ind w:firstLine="757"/>
        <w:spacing w:after="0" w:line="259" w:lineRule="auto"/>
        <w:tabs>
          <w:tab w:leader="none" w:pos="101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Overview. </w:t>
      </w:r>
      <w:r>
        <w:rPr>
          <w:rFonts w:ascii="Times New Roman" w:cs="Times New Roman" w:eastAsia="Times New Roman" w:hAnsi="Times New Roman"/>
          <w:sz w:val="18"/>
          <w:szCs w:val="18"/>
          <w:color w:val="auto"/>
        </w:rPr>
        <w:t>The purpose of this Clawback Policy (this “Policy”) is to set forth the circumstances under which a Covered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required to repay or return Erroneously Awarded Compensation to the Company. The Compensation Committee (the “Committee”) of the Board of Directors (the “Board”) of American Well Corporation (together with its Affiliates, the “Company”) has adopted this Policy in accordance with the terms herein and is intended to comply with New York Stock Exchange Listing Company Manual Section 303A.14, as such rule may be amended from time to time (the “Listing Rule”). Capitalized terms not otherwise defined herein shall have the meanings assigned to such terms under Section 10 of this Policy.</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57" w:lineRule="auto"/>
        <w:tabs>
          <w:tab w:leader="none" w:pos="101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Recovery of Erroneously Awarded Compensation. </w:t>
      </w:r>
      <w:r>
        <w:rPr>
          <w:rFonts w:ascii="Times New Roman" w:cs="Times New Roman" w:eastAsia="Times New Roman" w:hAnsi="Times New Roman"/>
          <w:sz w:val="18"/>
          <w:szCs w:val="18"/>
          <w:color w:val="auto"/>
        </w:rPr>
        <w:t>Upon the occurrence of a Restatement, if the Committee determines that a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Received any Erroneously Awarded Compensation, the Company shall reasonably promptly take steps to recover such Erroneously Awarded Compensation, and each Covered Executive shall be required to take all actions necessary to enable such recovery, provided, however, that there shall be no duplication of recovery under this Policy and any of Section 304 of The Sarbanes-Oxley Act of 2002, Section 10D of the Exchange Act, or provisions or terms of other Company policies or compensation plans or awards. In no event shall the Company be required to award a Covered Executive an additional payment if the restated or accurate financial results would have resulted in a higher Incentive Compensation payment.</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54" w:lineRule="auto"/>
        <w:tabs>
          <w:tab w:leader="none" w:pos="2036"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Means of Recovery</w:t>
      </w:r>
      <w:r>
        <w:rPr>
          <w:rFonts w:ascii="Times New Roman" w:cs="Times New Roman" w:eastAsia="Times New Roman" w:hAnsi="Times New Roman"/>
          <w:sz w:val="18"/>
          <w:szCs w:val="18"/>
          <w:color w:val="auto"/>
        </w:rPr>
        <w:t>. The Committee shall determine, in its sole discretion and in a manner that effectuates the purpose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Rule, one or more methods for recovering any Erroneously Awarded Compensation hereunder, which may include, without limitation: (i) requiring cash reimbursement of cash Incentive Compensation previously paid; (ii) seeking recovery or forfeiture of any gain realized on the vesting, exercise, settlement, sale, transfer or other disposition of any equity-based awards granted as Incentive Compensation; (iii) offsetting the amount to be recovered from any compensation otherwise owed by the Company to the Covered Executive, or forfeiture of deferred compensation, to the extent consistent with Section 409A of the Internal Revenue Code of 1986, as amended, and the regulations thereunder; (iv) cancelling outstanding, or forfeiting of, vested or unvested cash or equity awards (including those subject to service-based and/or performance-based vesting conditions, or for which such conditions have been satisfied); (v) cancelling, offsetting or reducing future compensation; and/or (vi) taking any other remedial and recovery action permitted by law, as determined by the Committee. Notwithstanding the foregoing, the Company makes no guarantee as to the treatment of such amounts under Section 409A, and shall have no liability with respect thereto.</w:t>
      </w:r>
    </w:p>
    <w:p>
      <w:pPr>
        <w:spacing w:after="0" w:line="185" w:lineRule="exact"/>
        <w:rPr>
          <w:rFonts w:ascii="Times New Roman" w:cs="Times New Roman" w:eastAsia="Times New Roman" w:hAnsi="Times New Roman"/>
          <w:sz w:val="18"/>
          <w:szCs w:val="18"/>
          <w:color w:val="010000"/>
        </w:rPr>
      </w:pPr>
    </w:p>
    <w:p>
      <w:pPr>
        <w:jc w:val="both"/>
        <w:ind w:firstLine="1505"/>
        <w:spacing w:after="0" w:line="267" w:lineRule="auto"/>
        <w:tabs>
          <w:tab w:leader="none" w:pos="2036"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Exceptions to the Recovery Requirement. </w:t>
      </w:r>
      <w:r>
        <w:rPr>
          <w:rFonts w:ascii="Times New Roman" w:cs="Times New Roman" w:eastAsia="Times New Roman" w:hAnsi="Times New Roman"/>
          <w:sz w:val="18"/>
          <w:szCs w:val="18"/>
          <w:color w:val="auto"/>
        </w:rPr>
        <w:t>Notwithstanding anything in this Policy to the contrary, Erroneously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need not be recovered pursuant to this Policy if the Committee determines that recovery would be impracticable as a result of any of the following:</w:t>
      </w:r>
    </w:p>
    <w:p>
      <w:pPr>
        <w:spacing w:after="0" w:line="175" w:lineRule="exact"/>
        <w:rPr>
          <w:rFonts w:ascii="Times New Roman" w:cs="Times New Roman" w:eastAsia="Times New Roman" w:hAnsi="Times New Roman"/>
          <w:sz w:val="18"/>
          <w:szCs w:val="18"/>
          <w:color w:val="010000"/>
        </w:rPr>
      </w:pPr>
    </w:p>
    <w:p>
      <w:pPr>
        <w:ind w:left="3000" w:right="80" w:hanging="371"/>
        <w:spacing w:after="0" w:line="258" w:lineRule="auto"/>
        <w:tabs>
          <w:tab w:leader="none" w:pos="300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w:t>
      </w:r>
    </w:p>
    <w:p>
      <w:pPr>
        <w:spacing w:after="0" w:line="183" w:lineRule="exact"/>
        <w:rPr>
          <w:rFonts w:ascii="Times New Roman" w:cs="Times New Roman" w:eastAsia="Times New Roman" w:hAnsi="Times New Roman"/>
          <w:sz w:val="18"/>
          <w:szCs w:val="18"/>
          <w:color w:val="auto"/>
        </w:rPr>
      </w:pPr>
    </w:p>
    <w:p>
      <w:pPr>
        <w:ind w:left="3000" w:right="40" w:hanging="371"/>
        <w:spacing w:after="0" w:line="258" w:lineRule="auto"/>
        <w:tabs>
          <w:tab w:leader="none" w:pos="300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concluding that it would be impracticable to recover any amount of Erroneously Awarded Compensation based on violation of home country law, the Company must obtain an opinion of home country counsel, acceptable to the Exchange, that recovery would result in such a violation, and must provide such opinion to the Exchange;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ind w:left="2243" w:right="340" w:hanging="371"/>
        <w:spacing w:after="0" w:line="266" w:lineRule="auto"/>
        <w:tabs>
          <w:tab w:leader="none" w:pos="2243"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73" w:lineRule="exact"/>
        <w:rPr>
          <w:rFonts w:ascii="Times New Roman" w:cs="Times New Roman" w:eastAsia="Times New Roman" w:hAnsi="Times New Roman"/>
          <w:sz w:val="18"/>
          <w:szCs w:val="18"/>
          <w:color w:val="auto"/>
        </w:rPr>
      </w:pPr>
    </w:p>
    <w:p>
      <w:pPr>
        <w:jc w:val="both"/>
        <w:ind w:left="-757" w:firstLine="1505"/>
        <w:spacing w:after="0" w:line="261" w:lineRule="auto"/>
        <w:tabs>
          <w:tab w:leader="none" w:pos="128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Failure to Repay</w:t>
      </w:r>
      <w:r>
        <w:rPr>
          <w:rFonts w:ascii="Times New Roman" w:cs="Times New Roman" w:eastAsia="Times New Roman" w:hAnsi="Times New Roman"/>
          <w:sz w:val="18"/>
          <w:szCs w:val="18"/>
          <w:color w:val="auto"/>
        </w:rPr>
        <w:t>. To the extent that a Covered Executive fails to repay all Erroneously Awarded Compensation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when due,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spacing w:after="0" w:line="177" w:lineRule="exact"/>
        <w:rPr>
          <w:rFonts w:ascii="Times New Roman" w:cs="Times New Roman" w:eastAsia="Times New Roman" w:hAnsi="Times New Roman"/>
          <w:sz w:val="18"/>
          <w:szCs w:val="18"/>
          <w:color w:val="010000"/>
        </w:rPr>
      </w:pPr>
    </w:p>
    <w:p>
      <w:pPr>
        <w:jc w:val="both"/>
        <w:ind w:left="-757" w:right="20" w:firstLine="757"/>
        <w:spacing w:after="0" w:line="268"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Prohibition. </w:t>
      </w:r>
      <w:r>
        <w:rPr>
          <w:rFonts w:ascii="Times New Roman" w:cs="Times New Roman" w:eastAsia="Times New Roman" w:hAnsi="Times New Roman"/>
          <w:sz w:val="18"/>
          <w:szCs w:val="18"/>
          <w:color w:val="auto"/>
        </w:rPr>
        <w:t>The Company shall not indemnify any Covered Executive against the loss of any Erroneously 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which the Committee has determined to seek recovery pursuant to this Policy. To the extent any such agreement or organizational document purports to provide otherwise, the Covered Executive hereby irrevocably agrees to forego such indemnification.</w:t>
      </w:r>
    </w:p>
    <w:p>
      <w:pPr>
        <w:spacing w:after="0" w:line="170" w:lineRule="exact"/>
        <w:rPr>
          <w:rFonts w:ascii="Times New Roman" w:cs="Times New Roman" w:eastAsia="Times New Roman" w:hAnsi="Times New Roman"/>
          <w:sz w:val="18"/>
          <w:szCs w:val="18"/>
          <w:b w:val="1"/>
          <w:bCs w:val="1"/>
          <w:color w:val="auto"/>
        </w:rPr>
      </w:pPr>
    </w:p>
    <w:p>
      <w:pPr>
        <w:jc w:val="both"/>
        <w:ind w:left="-757" w:firstLine="757"/>
        <w:spacing w:after="0" w:line="255"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Interpretation. </w:t>
      </w:r>
      <w:r>
        <w:rPr>
          <w:rFonts w:ascii="Times New Roman" w:cs="Times New Roman" w:eastAsia="Times New Roman" w:hAnsi="Times New Roman"/>
          <w:sz w:val="18"/>
          <w:szCs w:val="18"/>
          <w:color w:val="auto"/>
        </w:rPr>
        <w:t>The Committee shall administer this Policy. The Committee shall have full authority to interpret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the Policy in a manner consistent with its intent to meet the requirements of the Listing Rule and any other applicable law and shall otherwise be interpreted (including in the determination of amounts recoverable) in the business judgment of the Committee. Notwithstanding the foregoing, any determination that recovery would be impracticable (as described in Section 2(b)(i) of this Policy) must be made by a fully independent compensation committee as determined by the Board under the listing rules of the Exchange, or in the absence of such a fully independent compensation committee, the determination must be made by a majority of the independent directors serving on the Board. Any determinations made by the Committee shall be final, conclusive and binding on all affected individuals. As further set forth in Section 8 below, this Policy is intended to supplement any other clawback policies and procedures that the Company may have in place from time to time pursuant to other applicable law, plans, policies or agreements.</w:t>
      </w:r>
    </w:p>
    <w:p>
      <w:pPr>
        <w:spacing w:after="0" w:line="184" w:lineRule="exact"/>
        <w:rPr>
          <w:rFonts w:ascii="Times New Roman" w:cs="Times New Roman" w:eastAsia="Times New Roman" w:hAnsi="Times New Roman"/>
          <w:sz w:val="18"/>
          <w:szCs w:val="18"/>
          <w:b w:val="1"/>
          <w:bCs w:val="1"/>
          <w:color w:val="auto"/>
        </w:rPr>
      </w:pPr>
    </w:p>
    <w:p>
      <w:pPr>
        <w:ind w:left="-757" w:firstLine="757"/>
        <w:spacing w:after="0" w:line="286"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The Committee may amend this Policy from time to time in its discretion and shall amend this Policy as it deems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as and when it determines that it is legally required by any federal securities laws or the Listing Rule.</w:t>
      </w:r>
    </w:p>
    <w:p>
      <w:pPr>
        <w:spacing w:after="0" w:line="154" w:lineRule="exact"/>
        <w:rPr>
          <w:rFonts w:ascii="Times New Roman" w:cs="Times New Roman" w:eastAsia="Times New Roman" w:hAnsi="Times New Roman"/>
          <w:sz w:val="18"/>
          <w:szCs w:val="18"/>
          <w:b w:val="1"/>
          <w:bCs w:val="1"/>
          <w:color w:val="auto"/>
        </w:rPr>
      </w:pPr>
    </w:p>
    <w:p>
      <w:pPr>
        <w:ind w:left="-757" w:firstLine="757"/>
        <w:spacing w:after="0" w:line="286"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Required Disclosure. </w:t>
      </w:r>
      <w:r>
        <w:rPr>
          <w:rFonts w:ascii="Times New Roman" w:cs="Times New Roman" w:eastAsia="Times New Roman" w:hAnsi="Times New Roman"/>
          <w:sz w:val="18"/>
          <w:szCs w:val="18"/>
          <w:color w:val="auto"/>
        </w:rPr>
        <w:t>The Company shall file all disclosures with respect to this Policy in accordance with the requirements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w:t>
      </w:r>
    </w:p>
    <w:p>
      <w:pPr>
        <w:spacing w:after="0" w:line="154" w:lineRule="exact"/>
        <w:rPr>
          <w:rFonts w:ascii="Times New Roman" w:cs="Times New Roman" w:eastAsia="Times New Roman" w:hAnsi="Times New Roman"/>
          <w:sz w:val="18"/>
          <w:szCs w:val="18"/>
          <w:b w:val="1"/>
          <w:bCs w:val="1"/>
          <w:color w:val="auto"/>
        </w:rPr>
      </w:pPr>
    </w:p>
    <w:p>
      <w:pPr>
        <w:jc w:val="both"/>
        <w:ind w:left="-757" w:firstLine="757"/>
        <w:spacing w:after="0" w:line="262"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Acknowledgment. </w:t>
      </w:r>
      <w:r>
        <w:rPr>
          <w:rFonts w:ascii="Times New Roman" w:cs="Times New Roman" w:eastAsia="Times New Roman" w:hAnsi="Times New Roman"/>
          <w:sz w:val="18"/>
          <w:szCs w:val="18"/>
          <w:color w:val="auto"/>
        </w:rPr>
        <w:t>To the extent required by the Committee, each Covered Executive shall be required to sign and return to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acknowledgment form to the Company.</w:t>
      </w:r>
    </w:p>
    <w:p>
      <w:pPr>
        <w:spacing w:after="0" w:line="176" w:lineRule="exact"/>
        <w:rPr>
          <w:rFonts w:ascii="Times New Roman" w:cs="Times New Roman" w:eastAsia="Times New Roman" w:hAnsi="Times New Roman"/>
          <w:sz w:val="18"/>
          <w:szCs w:val="18"/>
          <w:b w:val="1"/>
          <w:bCs w:val="1"/>
          <w:color w:val="auto"/>
        </w:rPr>
      </w:pPr>
    </w:p>
    <w:p>
      <w:pPr>
        <w:jc w:val="both"/>
        <w:ind w:left="-757" w:firstLine="757"/>
        <w:spacing w:after="0" w:line="255"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Recovery Rights. </w:t>
      </w:r>
      <w:r>
        <w:rPr>
          <w:rFonts w:ascii="Times New Roman" w:cs="Times New Roman" w:eastAsia="Times New Roman" w:hAnsi="Times New Roman"/>
          <w:sz w:val="18"/>
          <w:szCs w:val="18"/>
          <w:color w:val="auto"/>
        </w:rPr>
        <w:t>The Committee intends that this Policy will be applied to the fullest extent of the law. The Committee may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pursuant to the terms of any similar policy in any employment agreement, equity award agreement, cash-based bonus plan or program, or similar agreement and any other legal remedies available to the Company. For the avoidance of doubt, any right of recovery under this Policy will prevail over any other remedies or rights of recovery that may be available to the Company pursuant to the terms of any similar policy to the extent that a larger recovery amount would be recoverable under this Policy.</w:t>
      </w:r>
    </w:p>
    <w:p>
      <w:pPr>
        <w:spacing w:after="0" w:line="184" w:lineRule="exact"/>
        <w:rPr>
          <w:rFonts w:ascii="Times New Roman" w:cs="Times New Roman" w:eastAsia="Times New Roman" w:hAnsi="Times New Roman"/>
          <w:sz w:val="18"/>
          <w:szCs w:val="18"/>
          <w:b w:val="1"/>
          <w:bCs w:val="1"/>
          <w:color w:val="auto"/>
        </w:rPr>
      </w:pPr>
    </w:p>
    <w:p>
      <w:pPr>
        <w:ind w:left="-757" w:right="20" w:firstLine="757"/>
        <w:spacing w:after="0" w:line="286" w:lineRule="auto"/>
        <w:tabs>
          <w:tab w:leader="none" w:pos="2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The Policy shall be binding and enforceable against each Covered Executive and, to the extent required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his/her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991235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34" w:name="page135"/>
    <w:bookmarkEnd w:id="134"/>
    <w:p>
      <w:pPr>
        <w:ind w:left="1020" w:hanging="263"/>
        <w:spacing w:after="0"/>
        <w:tabs>
          <w:tab w:leader="none" w:pos="10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5" w:lineRule="exact"/>
        <w:rPr>
          <w:rFonts w:ascii="Times New Roman" w:cs="Times New Roman" w:eastAsia="Times New Roman" w:hAnsi="Times New Roman"/>
          <w:sz w:val="18"/>
          <w:szCs w:val="18"/>
          <w:b w:val="1"/>
          <w:bCs w:val="1"/>
          <w:color w:val="auto"/>
        </w:rPr>
      </w:pPr>
    </w:p>
    <w:p>
      <w:pPr>
        <w:ind w:left="2040" w:hanging="535"/>
        <w:spacing w:after="0"/>
        <w:tabs>
          <w:tab w:leader="none" w:pos="2040"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each entity that directly or indirectly controls, is controlled by, or is under common control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jc w:val="both"/>
        <w:ind w:firstLine="1505"/>
        <w:spacing w:after="0" w:line="259"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Incentive Compensation Received by a Covered Executive (i) on or after October 2, 2023, (ii) after beginning service as a Covered Executive, (iii) at any time such individual served as a Covered Executive during the performance period for such Incentive Compensation (irrespective of whether such individual continued to serve as a Covered Executive upon or following the Restatement), (iv) while the Company has a class of securities listed on a national securities exchange or a national securities association, and (v) during the applicable Clawback Period.</w:t>
      </w:r>
    </w:p>
    <w:p>
      <w:pPr>
        <w:spacing w:after="0" w:line="179" w:lineRule="exact"/>
        <w:rPr>
          <w:rFonts w:ascii="Times New Roman" w:cs="Times New Roman" w:eastAsia="Times New Roman" w:hAnsi="Times New Roman"/>
          <w:sz w:val="18"/>
          <w:szCs w:val="18"/>
          <w:color w:val="010000"/>
        </w:rPr>
      </w:pPr>
    </w:p>
    <w:p>
      <w:pPr>
        <w:jc w:val="both"/>
        <w:ind w:firstLine="1505"/>
        <w:spacing w:after="0" w:line="268"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Restatement, the three completed Fiscal Years of the Company immediately preceding the Restatement and any Transition Period (that results from a change in the Company’s fiscal year) within or immediately following those three completed fiscal years.</w:t>
      </w:r>
    </w:p>
    <w:p>
      <w:pPr>
        <w:spacing w:after="0" w:line="170"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Executive</w:t>
      </w:r>
      <w:r>
        <w:rPr>
          <w:rFonts w:ascii="Times New Roman" w:cs="Times New Roman" w:eastAsia="Times New Roman" w:hAnsi="Times New Roman"/>
          <w:sz w:val="18"/>
          <w:szCs w:val="18"/>
          <w:color w:val="auto"/>
        </w:rPr>
        <w:t>” shall mean each current and former Executive Officer of the Company.</w:t>
      </w:r>
    </w:p>
    <w:p>
      <w:pPr>
        <w:spacing w:after="0" w:line="225" w:lineRule="exact"/>
        <w:rPr>
          <w:rFonts w:ascii="Times New Roman" w:cs="Times New Roman" w:eastAsia="Times New Roman" w:hAnsi="Times New Roman"/>
          <w:sz w:val="18"/>
          <w:szCs w:val="18"/>
          <w:color w:val="010000"/>
        </w:rPr>
      </w:pPr>
    </w:p>
    <w:p>
      <w:pPr>
        <w:jc w:val="both"/>
        <w:ind w:firstLine="1505"/>
        <w:spacing w:after="0" w:line="259"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the amount of Clawback Eligible Incentive Compensation that exceeds the amount of Incentive Compensation that otherwise would have been Received had it been determined based on the restated amounts, and computed without regard to any taxes paid by the Covered Executive in respect of the Erroneously Awarded Compensation. For Incentive Compensation based on stock price or total shareholder return, where the amount of erroneously awarded Incentive Compensation is not subject to mathematical recalculation directly from the information in a Restatement:</w:t>
      </w:r>
    </w:p>
    <w:p>
      <w:pPr>
        <w:spacing w:after="0" w:line="183" w:lineRule="exact"/>
        <w:rPr>
          <w:rFonts w:ascii="Times New Roman" w:cs="Times New Roman" w:eastAsia="Times New Roman" w:hAnsi="Times New Roman"/>
          <w:sz w:val="18"/>
          <w:szCs w:val="18"/>
          <w:color w:val="010000"/>
        </w:rPr>
      </w:pPr>
    </w:p>
    <w:p>
      <w:pPr>
        <w:ind w:left="3000" w:right="260" w:hanging="371"/>
        <w:spacing w:after="0" w:line="266" w:lineRule="auto"/>
        <w:tabs>
          <w:tab w:leader="none" w:pos="3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Erroneously Awarded Compensation shall be based on a reasonable estimate of the effect of the Restatement on the stock price or total shareholder return upon which the Incentive Compensation was Received; and</w:t>
      </w:r>
    </w:p>
    <w:p>
      <w:pPr>
        <w:spacing w:after="0" w:line="175" w:lineRule="exact"/>
        <w:rPr>
          <w:rFonts w:ascii="Times New Roman" w:cs="Times New Roman" w:eastAsia="Times New Roman" w:hAnsi="Times New Roman"/>
          <w:sz w:val="18"/>
          <w:szCs w:val="18"/>
          <w:color w:val="auto"/>
        </w:rPr>
      </w:pPr>
    </w:p>
    <w:p>
      <w:pPr>
        <w:ind w:left="3000" w:right="300" w:hanging="371"/>
        <w:spacing w:after="0" w:line="282" w:lineRule="auto"/>
        <w:tabs>
          <w:tab w:leader="none" w:pos="3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documentation of the determination of that reasonable estimate and provide such documentation to the Exchange.</w:t>
      </w:r>
    </w:p>
    <w:p>
      <w:pPr>
        <w:spacing w:after="0" w:line="157" w:lineRule="exact"/>
        <w:rPr>
          <w:rFonts w:ascii="Times New Roman" w:cs="Times New Roman" w:eastAsia="Times New Roman" w:hAnsi="Times New Roman"/>
          <w:sz w:val="18"/>
          <w:szCs w:val="18"/>
          <w:color w:val="auto"/>
        </w:rPr>
      </w:pPr>
    </w:p>
    <w:p>
      <w:pPr>
        <w:ind w:left="2080" w:hanging="575"/>
        <w:spacing w:after="0"/>
        <w:tabs>
          <w:tab w:leader="none" w:pos="208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shall mean the New York Stock Exchange.</w:t>
      </w:r>
    </w:p>
    <w:p>
      <w:pPr>
        <w:spacing w:after="0" w:line="225" w:lineRule="exact"/>
        <w:rPr>
          <w:rFonts w:ascii="Times New Roman" w:cs="Times New Roman" w:eastAsia="Times New Roman" w:hAnsi="Times New Roman"/>
          <w:sz w:val="18"/>
          <w:szCs w:val="18"/>
          <w:color w:val="010000"/>
        </w:rPr>
      </w:pPr>
    </w:p>
    <w:p>
      <w:pPr>
        <w:jc w:val="both"/>
        <w:ind w:firstLine="1505"/>
        <w:spacing w:after="0" w:line="257"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 making functions for the Company. Identification of an executive officer for purposes of this Policy would include at a minimum executive officers identified pursuant Item 401(b) of Regulation S-K.</w:t>
      </w:r>
    </w:p>
    <w:p>
      <w:pPr>
        <w:spacing w:after="0" w:line="182" w:lineRule="exact"/>
        <w:rPr>
          <w:rFonts w:ascii="Times New Roman" w:cs="Times New Roman" w:eastAsia="Times New Roman" w:hAnsi="Times New Roman"/>
          <w:sz w:val="18"/>
          <w:szCs w:val="18"/>
          <w:color w:val="010000"/>
        </w:rPr>
      </w:pPr>
    </w:p>
    <w:p>
      <w:pPr>
        <w:jc w:val="both"/>
        <w:ind w:firstLine="1505"/>
        <w:spacing w:after="0" w:line="259"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Financial reporting measures may include “non-GAAP financial measures” as well as other measures, metrics and ratios that are not GAAP measures. For the avoidance of doubt, a financial reporting measure need not be presented in the Company’s financial statements or included in a filing with the SEC.</w:t>
      </w:r>
    </w:p>
    <w:p>
      <w:pPr>
        <w:spacing w:after="0" w:line="179" w:lineRule="exact"/>
        <w:rPr>
          <w:rFonts w:ascii="Times New Roman" w:cs="Times New Roman" w:eastAsia="Times New Roman" w:hAnsi="Times New Roman"/>
          <w:sz w:val="18"/>
          <w:szCs w:val="18"/>
          <w:color w:val="010000"/>
        </w:rPr>
      </w:pPr>
    </w:p>
    <w:p>
      <w:pPr>
        <w:ind w:firstLine="1505"/>
        <w:spacing w:after="0" w:line="286" w:lineRule="auto"/>
        <w:tabs>
          <w:tab w:leader="none" w:pos="2036"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shall mean the Company’s fiscal year; provided that a Transition Period between the last day of the Company’s previous fiscal year end and the first day of its new fiscal year that comprises a period of nine to 12 months will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ind w:firstLine="1505"/>
        <w:spacing w:after="0" w:line="253" w:lineRule="auto"/>
        <w:tabs>
          <w:tab w:leader="none" w:pos="2036"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shall mean any compensation (whether cash or equity-based)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 For the avoidance of doubt, Incentive Compensation does not include awards that vest exclusively upon completion of a specified employment period, without any performance condition, and bonus awards that are discretionary or based on subjective goals or goals unrelated to Financial Reporting Measures, and does not include, without limitation: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187"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Rule</w:t>
      </w:r>
      <w:r>
        <w:rPr>
          <w:rFonts w:ascii="Times New Roman" w:cs="Times New Roman" w:eastAsia="Times New Roman" w:hAnsi="Times New Roman"/>
          <w:sz w:val="18"/>
          <w:szCs w:val="18"/>
          <w:color w:val="auto"/>
        </w:rPr>
        <w:t>” shall have the meaning set forth in Section 1 of this Policy.</w:t>
      </w:r>
    </w:p>
    <w:p>
      <w:pPr>
        <w:spacing w:after="0" w:line="225" w:lineRule="exact"/>
        <w:rPr>
          <w:rFonts w:ascii="Times New Roman" w:cs="Times New Roman" w:eastAsia="Times New Roman" w:hAnsi="Times New Roman"/>
          <w:sz w:val="18"/>
          <w:szCs w:val="18"/>
          <w:color w:val="010000"/>
        </w:rPr>
      </w:pPr>
    </w:p>
    <w:p>
      <w:pPr>
        <w:jc w:val="both"/>
        <w:ind w:firstLine="1505"/>
        <w:spacing w:after="0" w:line="268" w:lineRule="auto"/>
        <w:tabs>
          <w:tab w:leader="none" w:pos="2036"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mean, with respect to any Incentive Compensation, actual or deemed receipt, and Incentive Compensation shall be deemed received in the Company’s Fiscal Year during which the Financial Reporting Measure specified in the Incentive Compensation award is attained, even if payment, grant or vesting of the Incentive Compensation occurs after the end of that period.</w:t>
      </w:r>
    </w:p>
    <w:p>
      <w:pPr>
        <w:spacing w:after="0" w:line="170"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2036"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 The date that the Company is required to prepare an accounting restatement is the earlier to occur of: (i) the date that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The Company’s obligation to recover Erroneously Awarded Compensation is not dependent on whether the Company files a restated financial statement. A change to the Company’s financial statement that does not represent an error correction is not a Restatement, including without limitation: (i) retrospective application of a change in accounting principle;</w:t>
      </w:r>
    </w:p>
    <w:p>
      <w:pPr>
        <w:spacing w:after="0" w:line="2" w:lineRule="exact"/>
        <w:rPr>
          <w:rFonts w:ascii="Times New Roman" w:cs="Times New Roman" w:eastAsia="Times New Roman" w:hAnsi="Times New Roman"/>
          <w:sz w:val="18"/>
          <w:szCs w:val="18"/>
          <w:color w:val="010000"/>
        </w:rPr>
      </w:pPr>
    </w:p>
    <w:p>
      <w:pPr>
        <w:jc w:val="both"/>
        <w:ind w:firstLine="8"/>
        <w:spacing w:after="0" w:line="255" w:lineRule="auto"/>
        <w:tabs>
          <w:tab w:leader="none" w:pos="2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control; and (v) retrospective revision for stock splits, reverse stock splits, stock dividends or other changes in capital structure.</w:t>
      </w:r>
    </w:p>
    <w:p>
      <w:pPr>
        <w:spacing w:after="0" w:line="18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right="20" w:firstLine="1505"/>
        <w:spacing w:after="0" w:line="286" w:lineRule="auto"/>
        <w:tabs>
          <w:tab w:leader="none" w:pos="2036"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shall mean any transition period that results from a change in the Company’s Fiscal Year within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following the three completed Fiscal Years immediately preceding the Company’s requirement to prepare a Restatement.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Adopted on</w:t>
      </w:r>
      <w:r>
        <w:rPr>
          <w:rFonts w:ascii="Times New Roman" w:cs="Times New Roman" w:eastAsia="Times New Roman" w:hAnsi="Times New Roman"/>
          <w:sz w:val="18"/>
          <w:szCs w:val="18"/>
          <w:color w:val="auto"/>
        </w:rPr>
        <w:t>: July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CORPORATION (AMWELL)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American Well Corporation (Amwell) Clawback Policy (the “Policy”). Capitalized terms used but not otherwise defined in this Acknowledgement Form (this “Acknowledgement Form”) shall have the meanings ascribed to such terms in the Policy.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to the Company reasonably promptly to the extent required by, and in a manner permitted by, the Policy, as determined by the Compensation Committee of the Company’s Board of Directors in its sole discretion.</w:t>
      </w:r>
    </w:p>
    <w:p>
      <w:pPr>
        <w:spacing w:after="0" w:line="183" w:lineRule="exact"/>
        <w:rPr>
          <w:sz w:val="20"/>
          <w:szCs w:val="20"/>
          <w:color w:val="auto"/>
        </w:rPr>
      </w:pPr>
    </w:p>
    <w:p>
      <w:pPr>
        <w:ind w:left="7920"/>
        <w:spacing w:after="0"/>
        <w:tabs>
          <w:tab w:leader="none" w:pos="8620" w:val="left"/>
        </w:tabs>
        <w:rPr>
          <w:sz w:val="20"/>
          <w:szCs w:val="20"/>
          <w:color w:val="auto"/>
        </w:rPr>
      </w:pPr>
      <w:r>
        <w:rPr>
          <w:rFonts w:ascii="Times New Roman" w:cs="Times New Roman" w:eastAsia="Times New Roman" w:hAnsi="Times New Roman"/>
          <w:sz w:val="17"/>
          <w:szCs w:val="17"/>
          <w:color w:val="auto"/>
        </w:rPr>
        <w:t>Sign:</w:t>
      </w:r>
      <w:r>
        <w:rPr>
          <w:sz w:val="20"/>
          <w:szCs w:val="20"/>
          <w:color w:val="auto"/>
        </w:rPr>
        <w:tab/>
      </w:r>
      <w:r>
        <w:rPr>
          <w:rFonts w:ascii="Times New Roman" w:cs="Times New Roman" w:eastAsia="Times New Roman" w:hAnsi="Times New Roman"/>
          <w:sz w:val="17"/>
          <w:szCs w:val="17"/>
          <w:color w:val="auto"/>
        </w:rPr>
        <w:t>_____________________________</w:t>
      </w:r>
    </w:p>
    <w:p>
      <w:pPr>
        <w:spacing w:after="0" w:line="39" w:lineRule="exact"/>
        <w:rPr>
          <w:sz w:val="20"/>
          <w:szCs w:val="20"/>
          <w:color w:val="auto"/>
        </w:rPr>
      </w:pPr>
    </w:p>
    <w:p>
      <w:pPr>
        <w:ind w:left="482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23" w:lineRule="exact"/>
        <w:rPr>
          <w:sz w:val="20"/>
          <w:szCs w:val="20"/>
          <w:color w:val="auto"/>
        </w:rPr>
      </w:pPr>
    </w:p>
    <w:p>
      <w:pPr>
        <w:ind w:left="8000"/>
        <w:spacing w:after="0"/>
        <w:tabs>
          <w:tab w:leader="none" w:pos="8620" w:val="left"/>
        </w:tabs>
        <w:rPr>
          <w:sz w:val="20"/>
          <w:szCs w:val="20"/>
          <w:color w:val="auto"/>
        </w:rPr>
      </w:pPr>
      <w:r>
        <w:rPr>
          <w:rFonts w:ascii="Times New Roman" w:cs="Times New Roman" w:eastAsia="Times New Roman" w:hAnsi="Times New Roman"/>
          <w:sz w:val="17"/>
          <w:szCs w:val="17"/>
          <w:color w:val="auto"/>
        </w:rPr>
        <w:t>Date:</w:t>
        <w:tab/>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lvl w:ilvl="1">
      <w:lvlJc w:val="left"/>
      <w:lvlText w:val="o"/>
      <w:numFmt w:val="bullet"/>
      <w:start w:val="1"/>
    </w:lvl>
  </w:abstractNum>
  <w:abstractNum w:abstractNumId="16">
    <w:nsid w:val="6DE91B18"/>
    <w:multiLevelType w:val="hybridMultilevel"/>
    <w:lvl w:ilvl="0">
      <w:lvlJc w:val="left"/>
      <w:lvlText w:val="•"/>
      <w:numFmt w:val="bullet"/>
      <w:start w:val="1"/>
    </w:lvl>
    <w:lvl w:ilvl="1">
      <w:lvlJc w:val="left"/>
      <w:lvlText w:val="o"/>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lvl w:ilvl="1">
      <w:lvlJc w:val="left"/>
      <w:lvlText w:val="o"/>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lvl w:ilvl="1">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
      <w:numFmt w:val="bullet"/>
      <w:start w:val="1"/>
    </w:lvl>
    <w:lvl w:ilvl="1">
      <w:lvlJc w:val="left"/>
      <w:lvlText w:val="%2"/>
      <w:numFmt w:val="decimal"/>
      <w:start w:val="104"/>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3"/>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382"/>
    </w:lvl>
  </w:abstractNum>
  <w:abstractNum w:abstractNumId="48">
    <w:nsid w:val="77AE35EB"/>
    <w:multiLevelType w:val="hybridMultilevel"/>
    <w:lvl w:ilvl="0">
      <w:lvlJc w:val="left"/>
      <w:lvlText w:val="%1."/>
      <w:numFmt w:val="upperLetter"/>
      <w:start w:val="1"/>
    </w:lvl>
    <w:lvl w:ilvl="1">
      <w:lvlJc w:val="left"/>
      <w:lvlText w:val="(%2)"/>
      <w:numFmt w:val="decimal"/>
      <w:start w:val="1"/>
    </w:lvl>
  </w:abstractNum>
  <w:abstractNum w:abstractNumId="49">
    <w:nsid w:val="579BE4F1"/>
    <w:multiLevelType w:val="hybridMultilevel"/>
    <w:lvl w:ilvl="0">
      <w:lvlJc w:val="left"/>
      <w:lvlText w:val="(%1)"/>
      <w:numFmt w:val="decimal"/>
      <w:start w:val="1"/>
    </w:lvl>
    <w:lvl w:ilvl="1">
      <w:lvlJc w:val="left"/>
      <w:lvlText w:val="(%2)"/>
      <w:numFmt w:val="lowerRoman"/>
      <w:start w:val="1"/>
    </w:lvl>
  </w:abstractNum>
  <w:abstractNum w:abstractNumId="50">
    <w:nsid w:val="310C50B3"/>
    <w:multiLevelType w:val="hybridMultilevel"/>
    <w:lvl w:ilvl="0">
      <w:lvlJc w:val="left"/>
      <w:lvlText w:val="(%1)"/>
      <w:numFmt w:val="decimal"/>
      <w:start w:val="2"/>
    </w:lvl>
  </w:abstractNum>
  <w:abstractNum w:abstractNumId="51">
    <w:nsid w:val="5FF87E05"/>
    <w:multiLevelType w:val="hybridMultilevel"/>
    <w:lvl w:ilvl="0">
      <w:lvlJc w:val="left"/>
      <w:lvlText w:val="%1."/>
      <w:numFmt w:val="upperLetter"/>
      <w:start w:val="6"/>
    </w:lvl>
  </w:abstractNum>
  <w:abstractNum w:abstractNumId="52">
    <w:nsid w:val="2F305DEF"/>
    <w:multiLevelType w:val="hybridMultilevel"/>
    <w:lvl w:ilvl="0">
      <w:lvlJc w:val="left"/>
      <w:lvlText w:val="H"/>
      <w:numFmt w:val="bullet"/>
      <w:start w:val="1"/>
    </w:lvl>
  </w:abstractNum>
  <w:abstractNum w:abstractNumId="53">
    <w:nsid w:val="25A70BF7"/>
    <w:multiLevelType w:val="hybridMultilevel"/>
    <w:lvl w:ilvl="0">
      <w:lvlJc w:val="left"/>
      <w:lvlText w:val="%1."/>
      <w:numFmt w:val="upperLetter"/>
      <w:start w:val="9"/>
    </w:lvl>
  </w:abstractNum>
  <w:abstractNum w:abstractNumId="54">
    <w:nsid w:val="1DBABF00"/>
    <w:multiLevelType w:val="hybridMultilevel"/>
    <w:lvl w:ilvl="0">
      <w:lvlJc w:val="left"/>
      <w:lvlText w:val="%1."/>
      <w:numFmt w:val="upperLetter"/>
      <w:start w:val="13"/>
    </w:lvl>
  </w:abstractNum>
  <w:abstractNum w:abstractNumId="55">
    <w:nsid w:val="4AD084E9"/>
    <w:multiLevelType w:val="hybridMultilevel"/>
    <w:lvl w:ilvl="0">
      <w:lvlJc w:val="left"/>
      <w:lvlText w:val="%1."/>
      <w:numFmt w:val="upperLetter"/>
      <w:start w:val="1"/>
    </w:lvl>
    <w:lvl w:ilvl="1">
      <w:lvlJc w:val="left"/>
      <w:lvlText w:val="(%2)"/>
      <w:numFmt w:val="decimal"/>
      <w:start w:val="1"/>
    </w:lvl>
  </w:abstractNum>
  <w:abstractNum w:abstractNumId="56">
    <w:nsid w:val="1F48EAA1"/>
    <w:multiLevelType w:val="hybridMultilevel"/>
    <w:lvl w:ilvl="0">
      <w:lvlJc w:val="left"/>
      <w:lvlText w:val="%1."/>
      <w:numFmt w:val="upperLetter"/>
      <w:start w:val="5"/>
    </w:lvl>
    <w:lvl w:ilvl="1">
      <w:lvlJc w:val="left"/>
      <w:lvlText w:val="(%2)"/>
      <w:numFmt w:val="decimal"/>
      <w:start w:val="1"/>
    </w:lvl>
    <w:lvl w:ilvl="2">
      <w:lvlJc w:val="left"/>
      <w:lvlText w:val="(%3)"/>
      <w:numFmt w:val="lowerRoman"/>
      <w:start w:val="1"/>
    </w:lvl>
  </w:abstractNum>
  <w:abstractNum w:abstractNumId="57">
    <w:nsid w:val="1381823A"/>
    <w:multiLevelType w:val="hybridMultilevel"/>
    <w:lvl w:ilvl="0">
      <w:lvlJc w:val="left"/>
      <w:lvlText w:val="(%1)"/>
      <w:numFmt w:val="decimal"/>
      <w:start w:val="2"/>
    </w:lvl>
  </w:abstractNum>
  <w:abstractNum w:abstractNumId="58">
    <w:nsid w:val="5DB70AE5"/>
    <w:multiLevelType w:val="hybridMultilevel"/>
    <w:lvl w:ilvl="0">
      <w:lvlJc w:val="left"/>
      <w:lvlText w:val="%1."/>
      <w:numFmt w:val="upperLetter"/>
      <w:start w:val="6"/>
    </w:lvl>
  </w:abstractNum>
  <w:abstractNum w:abstractNumId="59">
    <w:nsid w:val="100F8FCA"/>
    <w:multiLevelType w:val="hybridMultilevel"/>
    <w:lvl w:ilvl="0">
      <w:lvlJc w:val="left"/>
      <w:lvlText w:val="H"/>
      <w:numFmt w:val="bullet"/>
      <w:start w:val="1"/>
    </w:lvl>
  </w:abstractNum>
  <w:abstractNum w:abstractNumId="60">
    <w:nsid w:val="6590700B"/>
    <w:multiLevelType w:val="hybridMultilevel"/>
    <w:lvl w:ilvl="0">
      <w:lvlJc w:val="left"/>
      <w:lvlText w:val="%1."/>
      <w:numFmt w:val="upperLetter"/>
      <w:start w:val="9"/>
    </w:lvl>
  </w:abstractNum>
  <w:abstractNum w:abstractNumId="61">
    <w:nsid w:val="15014ACB"/>
    <w:multiLevelType w:val="hybridMultilevel"/>
    <w:lvl w:ilvl="0">
      <w:lvlJc w:val="left"/>
      <w:lvlText w:val="%1."/>
      <w:numFmt w:val="upperLetter"/>
      <w:start w:val="13"/>
    </w:lvl>
  </w:abstractNum>
  <w:abstractNum w:abstractNumId="62">
    <w:nsid w:val="5F5E7FD0"/>
    <w:multiLevelType w:val="hybridMultilevel"/>
    <w:lvl w:ilvl="0">
      <w:lvlJc w:val="left"/>
      <w:lvlText w:val="%1."/>
      <w:numFmt w:val="decimal"/>
      <w:start w:val="1"/>
    </w:lvl>
    <w:lvl w:ilvl="1">
      <w:lvlJc w:val="left"/>
      <w:lvlText w:val="(%2)"/>
      <w:numFmt w:val="lowerLetter"/>
      <w:start w:val="1"/>
    </w:lvl>
  </w:abstractNum>
  <w:abstractNum w:abstractNumId="63">
    <w:nsid w:val="98A3148"/>
    <w:multiLevelType w:val="hybridMultilevel"/>
    <w:lvl w:ilvl="0">
      <w:lvlJc w:val="left"/>
      <w:lvlText w:val="%1."/>
      <w:numFmt w:val="decimal"/>
      <w:start w:val="1"/>
    </w:lvl>
    <w:lvl w:ilvl="1">
      <w:lvlJc w:val="left"/>
      <w:lvlText w:val="(%2)"/>
      <w:numFmt w:val="lowerLetter"/>
      <w:start w:val="1"/>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0">
    <w:nsid w:val="5DC79E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1">
    <w:nsid w:val="540A47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2">
    <w:nsid w:val="7BD3EE7B"/>
    <w:multiLevelType w:val="hybridMultilevel"/>
    <w:lvl w:ilvl="0">
      <w:lvlJc w:val="left"/>
      <w:lvlText w:val="%1."/>
      <w:numFmt w:val="decimal"/>
      <w:start w:val="10"/>
    </w:lvl>
    <w:lvl w:ilvl="1">
      <w:lvlJc w:val="left"/>
      <w:lvlText w:val="(%2)"/>
      <w:numFmt w:val="lowerLetter"/>
      <w:start w:val="1"/>
    </w:lvl>
  </w:abstractNum>
  <w:abstractNum w:abstractNumId="73">
    <w:nsid w:val="51D9C564"/>
    <w:multiLevelType w:val="hybridMultilevel"/>
    <w:lvl w:ilvl="0">
      <w:lvlJc w:val="left"/>
      <w:lvlText w:val="(%1)"/>
      <w:numFmt w:val="lowerLetter"/>
      <w:start w:val="2"/>
    </w:lvl>
    <w:lvl w:ilvl="1">
      <w:lvlJc w:val="left"/>
      <w:lvlText w:val="%2."/>
      <w:numFmt w:val="lowerRoman"/>
      <w:start w:val="1"/>
    </w:lvl>
  </w:abstractNum>
  <w:abstractNum w:abstractNumId="74">
    <w:nsid w:val="613EFDC5"/>
    <w:multiLevelType w:val="hybridMultilevel"/>
    <w:lvl w:ilvl="0">
      <w:lvlJc w:val="left"/>
      <w:lvlText w:val="%1"/>
      <w:numFmt w:val="lowerLetter"/>
      <w:start w:val="1"/>
    </w:lvl>
    <w:lvl w:ilvl="1">
      <w:lvlJc w:val="left"/>
      <w:lvlText w:val="(%2)"/>
      <w:numFmt w:val="lowerLetter"/>
      <w:start w:val="10"/>
    </w:lvl>
  </w:abstractNum>
  <w:abstractNum w:abstractNumId="75">
    <w:nsid w:val="BF72B14"/>
    <w:multiLevelType w:val="hybridMultilevel"/>
    <w:lvl w:ilvl="0">
      <w:lvlJc w:val="left"/>
      <w:lvlText w:val="(%1)"/>
      <w:numFmt w:val="lowerLetter"/>
      <w:start w:val="35"/>
    </w:lvl>
    <w:lvl w:ilvl="1">
      <w:lvlJc w:val="left"/>
      <w:lvlText w:val="(%2)"/>
      <w:numFmt w:val="lowerLetter"/>
      <w:start w:val="15"/>
    </w:lvl>
  </w:abstractNum>
  <w:abstractNum w:abstractNumId="76">
    <w:nsid w:val="11447B73"/>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75"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69" Type="http://schemas.openxmlformats.org/officeDocument/2006/relationships/image" Target="media/image315.png"/><Relationship Id="rId370" Type="http://schemas.openxmlformats.org/officeDocument/2006/relationships/image" Target="media/image316.png"/><Relationship Id="rId371" Type="http://schemas.openxmlformats.org/officeDocument/2006/relationships/image" Target="media/image317.png"/><Relationship Id="rId372" Type="http://schemas.openxmlformats.org/officeDocument/2006/relationships/image" Target="media/image318.png"/><Relationship Id="rId373" Type="http://schemas.openxmlformats.org/officeDocument/2006/relationships/image" Target="media/image319.png"/><Relationship Id="rId374" Type="http://schemas.openxmlformats.org/officeDocument/2006/relationships/image" Target="media/image320.png"/><Relationship Id="rId375" Type="http://schemas.openxmlformats.org/officeDocument/2006/relationships/image" Target="media/image321.png"/><Relationship Id="rId376" Type="http://schemas.openxmlformats.org/officeDocument/2006/relationships/image" Target="media/image322.png"/><Relationship Id="rId377" Type="http://schemas.openxmlformats.org/officeDocument/2006/relationships/image" Target="media/image323.png"/><Relationship Id="rId378" Type="http://schemas.openxmlformats.org/officeDocument/2006/relationships/image" Target="media/image324.png"/><Relationship Id="rId379" Type="http://schemas.openxmlformats.org/officeDocument/2006/relationships/image" Target="media/image325.png"/><Relationship Id="rId380" Type="http://schemas.openxmlformats.org/officeDocument/2006/relationships/image" Target="media/image326.png"/><Relationship Id="rId381" Type="http://schemas.openxmlformats.org/officeDocument/2006/relationships/image" Target="media/image327.png"/><Relationship Id="rId382" Type="http://schemas.openxmlformats.org/officeDocument/2006/relationships/image" Target="media/image328.png"/><Relationship Id="rId383" Type="http://schemas.openxmlformats.org/officeDocument/2006/relationships/image" Target="media/image329.png"/><Relationship Id="rId384" Type="http://schemas.openxmlformats.org/officeDocument/2006/relationships/image" Target="media/image330.png"/><Relationship Id="rId385" Type="http://schemas.openxmlformats.org/officeDocument/2006/relationships/image" Target="media/image331.png"/><Relationship Id="rId386"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pn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127" Type="http://schemas.openxmlformats.org/officeDocument/2006/relationships/hyperlink" Target="https://www.sec.gov/Archives/edgar/data/1393584/000119312520228478/d943395dex31.htm" TargetMode="External"/><Relationship Id="rId128" Type="http://schemas.openxmlformats.org/officeDocument/2006/relationships/hyperlink" Target="https://www.sec.gov/Archives/edgar/data/1393584/000119312520241132/d943395dex32.htm" TargetMode="External"/><Relationship Id="rId129" Type="http://schemas.openxmlformats.org/officeDocument/2006/relationships/hyperlink" Target="https://www.sec.gov/Archives/edgar/data/1393584/000119312520228478/d943395dex41.htm" TargetMode="External"/><Relationship Id="rId130" Type="http://schemas.openxmlformats.org/officeDocument/2006/relationships/hyperlink" Target="https://www.sec.gov/Archives/edgar/data/1393584/000119312520228478/d943395dex42.htm" TargetMode="External"/><Relationship Id="rId131" Type="http://schemas.openxmlformats.org/officeDocument/2006/relationships/hyperlink" Target="https://www.sec.gov/Archives/edgar/data/1393584/000119312520228478/d943395dex43.htm" TargetMode="External"/><Relationship Id="rId132" Type="http://schemas.openxmlformats.org/officeDocument/2006/relationships/hyperlink" Target="https://www.sec.gov/Archives/edgar/data/1393584/000119312520228478/d943395dex44.htm" TargetMode="External"/><Relationship Id="rId133" Type="http://schemas.openxmlformats.org/officeDocument/2006/relationships/hyperlink" Target="https://www.sec.gov/Archives/edgar/data/1393584/000119312520228478/d943395dex45.htm" TargetMode="External"/><Relationship Id="rId134" Type="http://schemas.openxmlformats.org/officeDocument/2006/relationships/hyperlink" Target="https://www.sec.gov/Archives/edgar/data/1393584/000095010320018402/dp137028_ex1001.htm" TargetMode="External"/><Relationship Id="rId135" Type="http://schemas.openxmlformats.org/officeDocument/2006/relationships/hyperlink" Target="https://www.sec.gov/Archives/edgar/data/1393584/000156459021015812/amwl-ex47_10.htm" TargetMode="External"/><Relationship Id="rId136" Type="http://schemas.openxmlformats.org/officeDocument/2006/relationships/hyperlink" Target="https://www.sec.gov/Archives/edgar/data/1393584/000119312520228478/d943395dex101.htm" TargetMode="External"/><Relationship Id="rId137" Type="http://schemas.openxmlformats.org/officeDocument/2006/relationships/hyperlink" Target="https://www.sec.gov/Archives/edgar/data/1393584/000119312520228478/d943395dex105.htm" TargetMode="External"/><Relationship Id="rId138" Type="http://schemas.openxmlformats.org/officeDocument/2006/relationships/hyperlink" Target="https://www.sec.gov/Archives/edgar/data/1393584/000095017022025908/amwl-ex10_1.htm" TargetMode="External"/><Relationship Id="rId139" Type="http://schemas.openxmlformats.org/officeDocument/2006/relationships/hyperlink" Target="https://www.sec.gov/Archives/edgar/data/1393584/000095017022025908/amwl-ex10_2.htm" TargetMode="External"/><Relationship Id="rId140" Type="http://schemas.openxmlformats.org/officeDocument/2006/relationships/hyperlink" Target="https://www.sec.gov/Archives/edgar/data/1393584/000095017022025908/amwl-ex10_3.htm" TargetMode="External"/><Relationship Id="rId141" Type="http://schemas.openxmlformats.org/officeDocument/2006/relationships/hyperlink" Target="https://www.sec.gov/Archives/edgar/data/1393584/000095017022025908/amwl-ex10_4.htm" TargetMode="External"/><Relationship Id="rId144" Type="http://schemas.openxmlformats.org/officeDocument/2006/relationships/hyperlink" Target="https://www.sec.gov/Archives/edgar/data/1393584/000119312520228478/d943395dex1011.htm" TargetMode="External"/><Relationship Id="rId145" Type="http://schemas.openxmlformats.org/officeDocument/2006/relationships/hyperlink" Target="https://www.sec.gov/Archives/edgar/data/1393584/000119312520228478/d943395dex1012.htm" TargetMode="External"/><Relationship Id="rId146" Type="http://schemas.openxmlformats.org/officeDocument/2006/relationships/hyperlink" Target="https://www.sec.gov/Archives/edgar/data/1393584/000119312520228478/d943395dex1019.htm" TargetMode="External"/><Relationship Id="rId147" Type="http://schemas.openxmlformats.org/officeDocument/2006/relationships/hyperlink" Target="https://www.sec.gov/Archives/edgar/data/1393584/000119312520228478/d943395dex1020.htm" TargetMode="External"/><Relationship Id="rId148" Type="http://schemas.openxmlformats.org/officeDocument/2006/relationships/hyperlink" Target="https://www.sec.gov/Archives/edgar/data/1393584/000119312520228478/d943395dex1021.htm" TargetMode="External"/><Relationship Id="rId149" Type="http://schemas.openxmlformats.org/officeDocument/2006/relationships/hyperlink" Target="https://www.sec.gov/Archives/edgar/data/1393584/000095017023057463/amwl-ex10_1.htm" TargetMode="External"/><Relationship Id="rId150" Type="http://schemas.openxmlformats.org/officeDocument/2006/relationships/hyperlink" Target="https://www.sec.gov/Archives/edgar/data/1393584/000119312520228478/d943395dex1023.htm" TargetMode="External"/><Relationship Id="rId151" Type="http://schemas.openxmlformats.org/officeDocument/2006/relationships/hyperlink" Target="https://www.sec.gov/Archives/edgar/data/1393584/000119312520228478/d943395dex1024.htm" TargetMode="External"/><Relationship Id="rId152" Type="http://schemas.openxmlformats.org/officeDocument/2006/relationships/hyperlink" Target="https://www.sec.gov/Archives/edgar/data/1393584/000119312520228478/d943395dex1025.htm" TargetMode="External"/><Relationship Id="rId153" Type="http://schemas.openxmlformats.org/officeDocument/2006/relationships/hyperlink" Target="https://www.sec.gov/Archives/edgar/data/1393584/000119312520228478/d943395dex1026.htm" TargetMode="External"/><Relationship Id="rId156" Type="http://schemas.openxmlformats.org/officeDocument/2006/relationships/hyperlink" Target="https://www.sec.gov/Archives/edgar/data/1393584/000119312520228478/d943395dex1027.htm" TargetMode="External"/><Relationship Id="rId157" Type="http://schemas.openxmlformats.org/officeDocument/2006/relationships/hyperlink" Target="https://www.sec.gov/Archives/edgar/data/1393584/000119312520228478/d943395dex1028.htm" TargetMode="External"/><Relationship Id="rId158" Type="http://schemas.openxmlformats.org/officeDocument/2006/relationships/hyperlink" Target="https://www.sec.gov/Archives/edgar/data/1393584/000119312520228478/d943395dex1029.htm" TargetMode="External"/><Relationship Id="rId159" Type="http://schemas.openxmlformats.org/officeDocument/2006/relationships/hyperlink" Target="https://www.sec.gov/Archives/edgar/data/1393584/000119312520241132/d943395dex1034.htm" TargetMode="External"/><Relationship Id="rId160" Type="http://schemas.openxmlformats.org/officeDocument/2006/relationships/hyperlink" Target="https://www.sec.gov/Archives/edgar/data/0001393584/000119312521007257/d95698dex1029.htm" TargetMode="External"/><Relationship Id="rId161" Type="http://schemas.openxmlformats.org/officeDocument/2006/relationships/hyperlink" Target="https://www.sec.gov/Archives/edgar/data/1393584/000095017023017229/amwl-ex10_1.htm" TargetMode="External"/><Relationship Id="rId162" Type="http://schemas.openxmlformats.org/officeDocument/2006/relationships/hyperlink" Target="https://www.sec.gov/Archives/edgar/data/1393584/000119312521278389/d201986dex101.htm" TargetMode="External"/><Relationship Id="rId163" Type="http://schemas.openxmlformats.org/officeDocument/2006/relationships/hyperlink" Target="https://www.sec.gov/Archives/edgar/data/1393584/000156459021056701/amwl-ex1039_142.htm" TargetMode="External"/><Relationship Id="rId164" Type="http://schemas.openxmlformats.org/officeDocument/2006/relationships/hyperlink" Target="https://www.sec.gov/Archives/edgar/data/1393584/000156459021015812/amwl-ex1036_97.htm" TargetMode="External"/><Relationship Id="rId165" Type="http://schemas.openxmlformats.org/officeDocument/2006/relationships/hyperlink" Target="https://www.sec.gov/Archives/edgar/data/1393584/000156459021015812/amwl-ex1037_11.htm" TargetMode="External"/><Relationship Id="rId166" Type="http://schemas.openxmlformats.org/officeDocument/2006/relationships/hyperlink" Target="https://www.sec.gov/Archives/edgar/data/1393584/000095017023057463/amwl-ex10_2.htm" TargetMode="External"/><Relationship Id="rId167" Type="http://schemas.openxmlformats.org/officeDocument/2006/relationships/hyperlink" Target="https://www.sec.gov/Archives/edgar/data/1393584/000156459022007355/amwl-ex1039_118.htm" TargetMode="External"/><Relationship Id="rId168" Type="http://schemas.openxmlformats.org/officeDocument/2006/relationships/hyperlink" Target="https://www.sec.gov/Archives/edgar/data/1393584/000095017023017229/amwl-ex10_2.htm" TargetMode="External"/><Relationship Id="rId169" Type="http://schemas.openxmlformats.org/officeDocument/2006/relationships/hyperlink" Target="https://www.sec.gov/Archives/edgar/data/1393584/000156459022007355/amwl-ex1041_119.htm" TargetMode="External"/><Relationship Id="rId170" Type="http://schemas.openxmlformats.org/officeDocument/2006/relationships/hyperlink" Target="https://www.sec.gov/Archives/edgar/data/1393584/000095017022008728/amwl-ex10_1.htm" TargetMode="External"/><Relationship Id="rId171" Type="http://schemas.openxmlformats.org/officeDocument/2006/relationships/hyperlink" Target="https://www.sec.gov/Archives/edgar/data/1393584/000095017022008728/amwl-ex10_2.htm" TargetMode="External"/><Relationship Id="rId172" Type="http://schemas.openxmlformats.org/officeDocument/2006/relationships/hyperlink" Target="https://www.sec.gov/Archives/edgar/data/1393584/000119312522105707/d335491dex101.htm" TargetMode="External"/><Relationship Id="rId173" Type="http://schemas.openxmlformats.org/officeDocument/2006/relationships/hyperlink" Target="https://www.sec.gov/Archives/edgar/data/1393584/000095017022014949/amwl-ex10_3.htm" TargetMode="External"/><Relationship Id="rId174" Type="http://schemas.openxmlformats.org/officeDocument/2006/relationships/hyperlink" Target="https://www.sec.gov/Archives/edgar/data/1393584/000095017022014949/amwl-ex10_4.htm" TargetMode="External"/><Relationship Id="rId176" Type="http://schemas.openxmlformats.org/officeDocument/2006/relationships/hyperlink" Target="https://www.sec.gov/Archives/edgar/data/1393584/000095017022022909/amwl-ex10_1.htm" TargetMode="External"/><Relationship Id="rId177" Type="http://schemas.openxmlformats.org/officeDocument/2006/relationships/hyperlink" Target="https://www.sec.gov/Archives/edgar/data/1393584/000095017022022909/amwl-ex10_2.htm" TargetMode="External"/><Relationship Id="rId178" Type="http://schemas.openxmlformats.org/officeDocument/2006/relationships/hyperlink" Target="https://www.sec.gov/Archives/edgar/data/1393584/000095017022022909/amwl-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2024-02-15T17:48:47Z</dcterms:created>
  <dcterms:modified xsi:type="dcterms:W3CDTF">2024-02-15T17:48:47Z</dcterms:modified>
</cp:coreProperties>
</file>