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mwl-20251104.htm"/>
      <w:bookmarkStart w:id="1" w:name="ksamwl202511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04,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American Well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75 State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26th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204-3500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AMWL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4, 2025, American Well Corporation (the "Company") announced its financial results for the fiscal quarter ended September 30, 2025. The Company's Earnings Report is furnished as Exhibit 99.1 to this Form 8-K and is incorporated by reference herein.</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host a conference call to discuss its financial results today at 5 p.m. ET. The call can be accessed via a live audio webcast at https://edge.media-server.com/mmc/p/63sb3bwu. A webcast replay of the call will be available via webcast shortly after the completion of the call, for approximately 90 days at investors.amwell.com.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 The following exhibit is being filed herewith:</w:t>
      </w:r>
    </w:p>
    <w:tbl>
      <w:tblPr>
        <w:tblW w:w="7341" w:type="dxa"/>
        <w:jc w:val="left"/>
        <w:tblInd w:w="0" w:type="dxa"/>
        <w:tblLayout w:type="fixed"/>
        <w:tblCellMar>
          <w:top w:w="28" w:type="dxa"/>
          <w:left w:w="28" w:type="dxa"/>
          <w:bottom w:w="28" w:type="dxa"/>
          <w:right w:w="28" w:type="dxa"/>
        </w:tblCellMar>
      </w:tblPr>
      <w:tblGrid>
        <w:gridCol w:w="481"/>
        <w:gridCol w:w="109"/>
        <w:gridCol w:w="6751"/>
      </w:tblGrid>
      <w:tr>
        <w:trPr/>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1" w:type="dxa"/>
            <w:tcBorders/>
            <w:tcMar>
              <w:top w:w="0" w:type="dxa"/>
              <w:left w:w="0" w:type="dxa"/>
              <w:bottom w:w="0" w:type="dxa"/>
              <w:right w:w="0" w:type="dxa"/>
            </w:tcMar>
            <w:vAlign w:val="center"/>
          </w:tcPr>
          <w:p>
            <w:pPr>
              <w:pStyle w:val="TableContents"/>
              <w:bidi w:val="0"/>
              <w:spacing w:before="0" w:after="283"/>
              <w:jc w:val="left"/>
              <w:rPr/>
            </w:pPr>
            <w:hyperlink w:anchor="amwl-ex99_1.htm">
              <w:r>
                <w:rPr>
                  <w:rStyle w:val="InternetLink"/>
                  <w:rFonts w:ascii="Times New Roman" w:hAnsi="Times New Roman"/>
                  <w:color w:val="0000FF"/>
                  <w:sz w:val="20"/>
                  <w:u w:val="single"/>
                </w:rPr>
                <w:t>Earnings Report, dated November 4, 2025, issued by American Well Corporation.</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94" w:type="dxa"/>
        <w:jc w:val="left"/>
        <w:tblInd w:w="0" w:type="dxa"/>
        <w:tblLayout w:type="fixed"/>
        <w:tblCellMar>
          <w:top w:w="28" w:type="dxa"/>
          <w:left w:w="28" w:type="dxa"/>
          <w:bottom w:w="28" w:type="dxa"/>
          <w:right w:w="28" w:type="dxa"/>
        </w:tblCellMar>
      </w:tblPr>
      <w:tblGrid>
        <w:gridCol w:w="556"/>
        <w:gridCol w:w="1606"/>
        <w:gridCol w:w="451"/>
        <w:gridCol w:w="318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4,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8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Anna Nesterova</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Anna Nesterova</w:t>
              <w:br/>
              <w:t>Head of Legal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mwl-ex99_1.htm"/>
      <w:bookmarkStart w:id="3" w:name="ksamwl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571625"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3143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aps/>
          <w:color w:val="000000"/>
          <w:sz w:val="20"/>
        </w:rPr>
        <w:t>A</w:t>
      </w:r>
      <w:r>
        <w:rPr>
          <w:rFonts w:ascii="Times New Roman" w:hAnsi="Times New Roman"/>
          <w:b/>
          <w:color w:val="000000"/>
          <w:sz w:val="20"/>
        </w:rPr>
        <w:t>mwell</w:t>
      </w:r>
      <w:r>
        <w:rPr>
          <w:rFonts w:ascii="Times New Roman" w:hAnsi="Times New Roman"/>
          <w:b/>
          <w:caps/>
          <w:color w:val="000000"/>
          <w:sz w:val="13"/>
        </w:rPr>
        <w:t>®</w:t>
      </w:r>
      <w:r>
        <w:rPr>
          <w:rFonts w:ascii="Times New Roman" w:hAnsi="Times New Roman"/>
          <w:color w:val="000000"/>
          <w:sz w:val="20"/>
        </w:rPr>
        <w:t xml:space="preserve"> </w:t>
      </w:r>
      <w:r>
        <w:rPr>
          <w:rFonts w:ascii="Times New Roman" w:hAnsi="Times New Roman"/>
          <w:b/>
          <w:color w:val="000000"/>
          <w:sz w:val="20"/>
        </w:rPr>
        <w:t>Announces Results for</w:t>
      </w:r>
      <w:r>
        <w:rPr>
          <w:rFonts w:ascii="Times New Roman" w:hAnsi="Times New Roman"/>
          <w:caps/>
          <w:color w:val="000000"/>
          <w:sz w:val="20"/>
        </w:rPr>
        <w:t xml:space="preserve"> </w:t>
      </w:r>
      <w:r>
        <w:rPr>
          <w:rFonts w:ascii="Times New Roman" w:hAnsi="Times New Roman"/>
          <w:b/>
          <w:color w:val="000000"/>
          <w:sz w:val="20"/>
        </w:rPr>
        <w:t>the Third Quarter Ended September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BOSTON – November 4</w:t>
      </w:r>
      <w:r>
        <w:rPr>
          <w:rFonts w:ascii="Times New Roman" w:hAnsi="Times New Roman"/>
          <w:b/>
          <w:caps/>
          <w:color w:val="000000"/>
          <w:sz w:val="20"/>
        </w:rPr>
        <w:t>, 2025</w:t>
      </w:r>
      <w:r>
        <w:rPr>
          <w:rFonts w:ascii="Times New Roman" w:hAnsi="Times New Roman"/>
          <w:color w:val="000000"/>
          <w:sz w:val="20"/>
        </w:rPr>
        <w:t xml:space="preserve"> – Amwell</w:t>
      </w:r>
      <w:r>
        <w:rPr>
          <w:rFonts w:ascii="Times New Roman" w:hAnsi="Times New Roman"/>
          <w:i/>
          <w:color w:val="000000"/>
          <w:sz w:val="13"/>
        </w:rPr>
        <w:t>®</w:t>
      </w:r>
      <w:r>
        <w:rPr>
          <w:rFonts w:ascii="Times New Roman" w:hAnsi="Times New Roman"/>
          <w:color w:val="000000"/>
          <w:sz w:val="20"/>
        </w:rPr>
        <w:t xml:space="preserve"> (NYSE: AMWL), a leading provider of a comprehensive SaaS-based technology-enabled healthcare platform, today announced financial results for the third quarter of 2025.</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third quarter performance surpassed guidance and reflects continued execution of our strategic plan to reach break-even cash flow from operations by year-end 2026," said Dr. Ido Schoenberg, Chairman and CEO of Amwell. "We are leveraging our enterprise-grade platform—increasingly powered by AI infrastructure and nearly two decades of telehealth expertise backed by millions of digital-first care encounters—to deliver substantial value for customers while maintaining exceptional operational efficiency.”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Healthcare organizations are increasingly challenged by fragmentation across multiple point solutions, and the market is moving in our direction," continued Dr. Schoenberg. "Amwell provides a scalable and reliable technology-enabled care backbone that delivers one platform, one user experience, and one data infrastructure. We give customers complete flexibility to select from the rapidly growing array of clinical programs that best serve their needs while safely realizing the promise of AI-driven automation coupled with the compliance and clinical integrity of certified care providers—an approach that drives meaningful improvements in both clinical and financial outcomes.”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Amwell Third Quarter 2025 Highlights: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Recorded Total Revenue of $56.3 million, exceeding the previously provided financial guidance from Q2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Achieved subscription revenue of $30.9 million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Generated Amwell Medical Group (“AMG”) visit revenue of $21.2 million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Reported gross margin of 52.4%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Net loss was ($31.9) million, compared to ($19.5) million in second quarter of 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Adjusted EBITDA of ($12.7) million, compared to ($4.7) million in the second quarter of 2025</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Total visits were 1.1 million</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Financial Outlook:</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company revised its guidance for 2025 (this reflects the previously announced divestiture of Amwell Psychiatric Care):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Revenue in the range of $245 million to $248 million, compared to previous guidance of $245 million to $250 million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AMG visits between 1.3 million and 1.35 million, no change</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company also narrowed its guidance range for Adjusted EBITDA to a range of between ($45) million to ($42) million, compared to the previous guidance of ($50) million to ($45)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also provided financial guidance for Q4 2025 Revenue and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Q4 revenue in the range of $51 million to $54 million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Q4 adjusted EBITDA in the range of ($15) million to ($12)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reiterated its objective to achieve positive cash flow from operations in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Amwell will host a conference call to discuss its financial results today at 5 p.m. ET. The call can be accessed via a live audio webcast at https://edge.media-server.com/mmc/p/63sb3bwu. A webcast replay will be available for approximately 90 days at investors.amwell.com. Other than with respect to GAAP Revenue, the Company only provides guidance on a non-GAAP basis. The Company does not provide a reconciliation of forward-looking Adjusted EBITDA (non-GAAP) to GAAP net income (loss), due to the inherent difficulty in forecasting and quantifying certain amounts that are necessary for such reconciliation. Because other deductions used to calculate projected net income (loss) vary dramatically based on actual events, the Company is not able to forecast on a GAAP basis with reasonable certainty all deductions needed in order to provide a GAAP calculation of projected net income (loss) at this time. The amount of these deductions may be material and, therefore, could result in projected GAAP net income (loss) being materially less than projected Adjusted EBITDA (non-GAAP).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About Amwell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Amwell offers payers and health systems a single, comprehensive, technology-enabled care platform. We use technology to provide patients with better access to more convenient, affordable and effective care. The Amwell platform includes software and services that power many clinical programs from Amwell and our growing number of partners. Our platform allows patients to experience unified, personalized and simple access to diversified clinical programs across the care continuum. As more people seek care online and more clinical programs become available, we offer integrated, future-ready, consistent solutions. The Amwell platform is proven, operating at a large scale, enabling care for millions of patients and their sponsors while delivering dependable outcomes. For almost two decades, Amwell has proudly served some of the largest and most sophisticated healthcare organizations in the U.S. and worldwide. For more information, visit business.amwell.com or LinkedIn.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press release contains forward-looking statements about us and our industry that involve substantial risks and uncertainties and are based on our beliefs and assumptions and on information currently available to us. All statements other than statements of historical facts contained in this press release,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“could,” “estimate,” “expect,” “intend,” “may,” “plan,” “potential,” “predict,” “project,” “should,” “will,” or “would,” or the negative of these words or other similar terms or expressions.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represent our beliefs and assumptions only as of the date of this release. These statements, and related risks, uncertainties, factors and assumptions, include, but are not limited to: our ability to successfully transition our clients to Converge without significant attrition; our ability to renew and upsell our client base; the election by the Defense Health Agency to deploy our solution across their entire enterprise; the continuation of the DHA relationship beyond July 2026 with comparable financial terms; weak growth and increased volatility in the telehealth market; our ability to adapt to rapid technological changes; increased competition from existing and potential new participants in the healthcare industry; changes in healthcare laws, regulations or trends and our ability to operate in the heavily regulated healthcare industry; our ability to comply with federal and state privacy regulations; the significant liability that could result from a cybersecurity breach; our ability to commence and complete and strategic transformation initiatives and the impact of such initiatives; and other factors described under ‘Risk Factors’ in our most recent form 10-K filed with the SEC. These risks are not exhaustive. Except as required by law, we assume no obligation to update these forward-looking statements, or to update the reasons actual results could differ materially from those anticipated in the forward-looking statements, even if new information becomes available in the future. Further information on factors that could cause actual results to differ materially from the results anticipated by our forward-looking statements is included in the reports we have filed or will file with the Securities and Exchange Commission. These filings, when available, are available on the investor relations section of our website at investors.amwell.com and on the SEC’s website at </w:t>
      </w:r>
      <w:r>
        <w:rPr>
          <w:rFonts w:ascii="Times New Roman" w:hAnsi="Times New Roman"/>
          <w:sz w:val="20"/>
        </w:rPr>
        <w:t>www.sec.gov</w:t>
      </w:r>
      <w:r>
        <w:rPr>
          <w:rFonts w:ascii="Times New Roman" w:hAnsi="Times New Roman"/>
          <w:color w:val="000000"/>
          <w:sz w:val="20"/>
          <w:u w:val="single"/>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240" w:after="283"/>
        <w:jc w:val="left"/>
        <w:rPr>
          <w:rFonts w:ascii="Times New Roman" w:hAnsi="Times New Roman"/>
          <w:sz w:val="20"/>
        </w:rPr>
      </w:pPr>
      <w:r>
        <w:rPr>
          <w:rFonts w:ascii="Times New Roman" w:hAnsi="Times New Roman"/>
          <w:b/>
          <w:color w:val="000000"/>
          <w:sz w:val="20"/>
        </w:rPr>
        <w:t>Media:</w:t>
      </w:r>
      <w:r>
        <w:rPr>
          <w:rFonts w:ascii="Times New Roman" w:hAnsi="Times New Roman"/>
          <w:color w:val="000000"/>
          <w:sz w:val="20"/>
        </w:rPr>
        <w:t>Press@amwell.com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Investors:</w:t>
      </w:r>
    </w:p>
    <w:p>
      <w:pPr>
        <w:pStyle w:val="TextBody"/>
        <w:bidi w:val="0"/>
        <w:jc w:val="left"/>
        <w:rPr>
          <w:rFonts w:ascii="Times New Roman" w:hAnsi="Times New Roman"/>
          <w:color w:val="000000"/>
          <w:sz w:val="20"/>
        </w:rPr>
      </w:pPr>
      <w:bookmarkStart w:id="4" w:name="range_a1_e43"/>
      <w:bookmarkEnd w:id="4"/>
      <w:r>
        <w:rPr>
          <w:rFonts w:ascii="Times New Roman" w:hAnsi="Times New Roman"/>
          <w:color w:val="000000"/>
          <w:sz w:val="20"/>
        </w:rPr>
        <w:t>Asher Dewhurst</w:t>
      </w:r>
    </w:p>
    <w:p>
      <w:pPr>
        <w:pStyle w:val="TextBody"/>
        <w:bidi w:val="0"/>
        <w:jc w:val="left"/>
        <w:rPr>
          <w:rFonts w:ascii="Times New Roman" w:hAnsi="Times New Roman"/>
          <w:color w:val="000000"/>
          <w:sz w:val="20"/>
        </w:rPr>
      </w:pPr>
      <w:r>
        <w:rPr>
          <w:rFonts w:ascii="Times New Roman" w:hAnsi="Times New Roman"/>
          <w:color w:val="000000"/>
          <w:sz w:val="20"/>
        </w:rPr>
        <w:t>amwell@icrhealthcare.com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672"/>
        <w:gridCol w:w="146"/>
        <w:gridCol w:w="288"/>
        <w:gridCol w:w="1360"/>
        <w:gridCol w:w="166"/>
        <w:gridCol w:w="146"/>
        <w:gridCol w:w="282"/>
        <w:gridCol w:w="1331"/>
        <w:gridCol w:w="814"/>
      </w:tblGrid>
      <w:tr>
        <w:trPr/>
        <w:tc>
          <w:tcPr>
            <w:tcW w:w="5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 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228,316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receivable ($1,184 and $616, from related parties and net of</w:t>
              <w:br/>
              <w:t>   allowances of $7,149 and $7,236,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71,885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2,858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2,513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11,421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316,993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101,538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7,203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 xml:space="preserve">Investment in minority owned joint venture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435,968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5,015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49,326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($45 and $198 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53,232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111,263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4,511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19"/>
              </w:rPr>
            </w:pPr>
            <w:r>
              <w:rPr>
                <w:rFonts w:ascii="Times New Roman" w:hAnsi="Times New Roman"/>
                <w:color w:val="000000"/>
                <w:sz w:val="19"/>
              </w:rPr>
              <w:t xml:space="preserve">Deferred revenue, net of current portion ($0 and $10 from related parties, </w:t>
            </w:r>
          </w:p>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119,724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19"/>
              </w:rPr>
            </w:pPr>
            <w:r>
              <w:rPr>
                <w:rFonts w:ascii="Times New Roman" w:hAnsi="Times New Roman"/>
                <w:color w:val="000000"/>
                <w:sz w:val="19"/>
              </w:rPr>
              <w:t xml:space="preserve">Preferred stock, $0.01 par value; 100,000,000 shares authorized, no shares </w:t>
            </w:r>
          </w:p>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issued or outstanding as of September 30, 2025 and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19"/>
              </w:rPr>
            </w:pPr>
            <w:r>
              <w:rPr>
                <w:rFonts w:ascii="Times New Roman" w:hAnsi="Times New Roman"/>
                <w:color w:val="000000"/>
                <w:sz w:val="19"/>
              </w:rPr>
              <w:t xml:space="preserve">Common stock, $0.01 par value; 1,000,000,000 Class A shares authorized, </w:t>
            </w:r>
          </w:p>
          <w:p>
            <w:pPr>
              <w:pStyle w:val="TableContents"/>
              <w:bidi w:val="0"/>
              <w:ind w:left="0" w:right="0" w:firstLine="200"/>
              <w:jc w:val="left"/>
              <w:rPr/>
            </w:pPr>
            <w:r>
              <w:rPr>
                <w:color w:val="000000"/>
              </w:rPr>
              <w:t>   </w:t>
            </w:r>
            <w:r>
              <w:rPr>
                <w:rFonts w:ascii="Times New Roman" w:hAnsi="Times New Roman"/>
                <w:color w:val="000000"/>
                <w:sz w:val="19"/>
              </w:rPr>
              <w:t xml:space="preserve">14,672,254 and 13,922,877 shares issued and outstanding, respectively; </w:t>
            </w:r>
          </w:p>
          <w:p>
            <w:pPr>
              <w:pStyle w:val="TableContents"/>
              <w:bidi w:val="0"/>
              <w:ind w:left="0" w:right="0" w:firstLine="200"/>
              <w:jc w:val="left"/>
              <w:rPr/>
            </w:pPr>
            <w:r>
              <w:rPr>
                <w:color w:val="000000"/>
              </w:rPr>
              <w:t>   </w:t>
            </w:r>
            <w:r>
              <w:rPr>
                <w:rFonts w:ascii="Times New Roman" w:hAnsi="Times New Roman"/>
                <w:color w:val="000000"/>
                <w:sz w:val="19"/>
              </w:rPr>
              <w:t xml:space="preserve">100,000,000 Class B shares authorized, 1,369,518 shares issued and </w:t>
            </w:r>
          </w:p>
          <w:p>
            <w:pPr>
              <w:pStyle w:val="TableContents"/>
              <w:bidi w:val="0"/>
              <w:ind w:left="0" w:right="0" w:firstLine="200"/>
              <w:jc w:val="left"/>
              <w:rPr/>
            </w:pPr>
            <w:r>
              <w:rPr>
                <w:color w:val="000000"/>
              </w:rPr>
              <w:t>   </w:t>
            </w:r>
            <w:r>
              <w:rPr>
                <w:rFonts w:ascii="Times New Roman" w:hAnsi="Times New Roman"/>
                <w:color w:val="000000"/>
                <w:sz w:val="19"/>
              </w:rPr>
              <w:t xml:space="preserve">outstanding; 200,000,000 Class C shares authorized 277,777 issued and </w:t>
            </w:r>
          </w:p>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9"/>
              </w:rPr>
              <w:t>outstanding as of September 30, 2025 and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2,304,591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2,286,380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(15,840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(2,036,705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(1,965,924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American Well Corporation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304,772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11,472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7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267,363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316,244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7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359,425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435,968</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6" w:name="range_a1_g29"/>
      <w:bookmarkEnd w:id="6"/>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($744, $742, $2,009 and $2,442 from related parties, </w:t>
            </w:r>
          </w:p>
          <w:p>
            <w:pPr>
              <w:pStyle w:val="TableContents"/>
              <w:bidi w:val="0"/>
              <w:spacing w:before="0" w:after="283"/>
              <w:jc w:val="left"/>
              <w:rPr>
                <w:color w:val="000000"/>
              </w:rPr>
            </w:pPr>
            <w:r>
              <w:rPr>
                <w:color w:val="000000"/>
              </w:rPr>
              <w:t>   </w:t>
            </w:r>
            <w:r>
              <w:rPr>
                <w:rFonts w:ascii="Times New Roman" w:hAnsi="Times New Roman"/>
                <w:color w:val="000000"/>
                <w:sz w:val="20"/>
              </w:rPr>
              <w:t>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Costs of revenue, excluding depreciation and amortization </w:t>
            </w:r>
          </w:p>
          <w:p>
            <w:pPr>
              <w:pStyle w:val="TableContents"/>
              <w:bidi w:val="0"/>
              <w:spacing w:before="0" w:after="283"/>
              <w:jc w:val="left"/>
              <w:rPr>
                <w:color w:val="000000"/>
              </w:rPr>
            </w:pPr>
            <w:r>
              <w:rPr>
                <w:color w:val="000000"/>
              </w:rPr>
              <w:t>   </w:t>
            </w:r>
            <w:r>
              <w:rPr>
                <w:rFonts w:ascii="Times New Roman" w:hAnsi="Times New Roman"/>
                <w:color w:val="000000"/>
                <w:sz w:val="20"/>
              </w:rPr>
              <w:t>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expense from income taxes and loss from</w:t>
              <w:br/>
              <w:t>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w:t>
              <w:br/>
              <w:t>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Weighted-average common shares outstanding, basic and </w:t>
            </w:r>
          </w:p>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16,214,711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15,135,421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15,928,671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14,864,967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(loss) attributable to</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sz w:val="20"/>
        </w:rPr>
      </w:pPr>
      <w:bookmarkStart w:id="8" w:name="condensed_consolidated_statements_cash_f"/>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4"/>
        <w:gridCol w:w="146"/>
        <w:gridCol w:w="265"/>
        <w:gridCol w:w="986"/>
        <w:gridCol w:w="209"/>
        <w:gridCol w:w="183"/>
        <w:gridCol w:w="265"/>
        <w:gridCol w:w="1062"/>
        <w:gridCol w:w="815"/>
      </w:tblGrid>
      <w:tr>
        <w:trPr/>
        <w:tc>
          <w:tcPr>
            <w:tcW w:w="6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(69,798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(168,069</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25,467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24,765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Provisions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1,819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fulfillment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(8,713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17,432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36,659</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2,402</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 net of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(35,932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(2,312</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(1,620</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3,305</w:t>
            </w:r>
          </w:p>
        </w:tc>
        <w:tc>
          <w:tcPr>
            <w:tcW w:w="8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(3,313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8,685</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(24,477</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13,582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(48,598</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(113,903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Capitalized software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(12,690</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Investment in less than majority owned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(1,715</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divestiture, net of cash divested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20,400</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(14,521</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1,384</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the 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841</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1,383</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rates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(350</w:t>
            </w:r>
          </w:p>
        </w:tc>
        <w:tc>
          <w:tcPr>
            <w:tcW w:w="8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9"/>
              </w:rPr>
            </w:pPr>
            <w:r>
              <w:rPr>
                <w:rFonts w:ascii="Times New Roman" w:hAnsi="Times New Roman"/>
                <w:b/>
                <w:color w:val="000000"/>
                <w:sz w:val="19"/>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(27,428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(127,391</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229,111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372,833</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201,683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245,442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200,888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244,647</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201,683</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245,442</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3,272</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supplement our financial information presented in accordance with generally accepted accounting principles in the United States, of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and in measuring our performance relative to that of our competitors. We utilize adjusted EBITDA as the primary measure of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adjusted EBITDA as net loss adjusted to exclude (i) interest income and other income, net, (ii) tax benefit and expense, (iii) depreciation and amortization, (iv) gain on divestiture, (v) stock-based compensation expense, (vi) severance and strategic transformation costs and (vii) capitalized software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adjusted EBITDA is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legal, accounting and other professional expenses reflect cash expenditures and we expect such expenditures to recur from time to time. Our adjusted EBITDA may not be comparable to similarly titled measures of other companies because they may not calculate adjusted EBITDA in the same manner as we calculate the measure, limiting its usefulness as a comparative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 </w:t>
      </w:r>
    </w:p>
    <w:p>
      <w:pPr>
        <w:pStyle w:val="TextBody"/>
        <w:bidi w:val="0"/>
        <w:jc w:val="left"/>
        <w:rPr>
          <w:rFonts w:ascii="Times New Roman" w:hAnsi="Times New Roman"/>
          <w:sz w:val="20"/>
        </w:rPr>
      </w:pPr>
      <w:r>
        <w:rPr>
          <w:rFonts w:ascii="Times New Roman" w:hAnsi="Times New Roman"/>
          <w:color w:val="000000"/>
          <w:sz w:val="20"/>
        </w:rPr>
        <w:t xml:space="preserve">The following table presents a reconciliation of adjusted EBITDA from the most comparable GAAP measure, net loss, for the three and nine months ended </w:t>
      </w:r>
      <w:r>
        <w:rPr>
          <w:rFonts w:ascii="Times New Roman" w:hAnsi="Times New Roman"/>
          <w:color w:val="000000"/>
          <w:sz w:val="20"/>
          <w:u w:val="single"/>
        </w:rPr>
        <w:t>September 30</w:t>
      </w:r>
      <w:r>
        <w:rPr>
          <w:rFonts w:ascii="Times New Roman" w:hAnsi="Times New Roman"/>
          <w:color w:val="000000"/>
          <w:sz w:val="20"/>
        </w:rPr>
        <w:t>, 2025 and 2024 and the 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53"/>
        <w:gridCol w:w="146"/>
        <w:gridCol w:w="109"/>
        <w:gridCol w:w="847"/>
        <w:gridCol w:w="146"/>
        <w:gridCol w:w="907"/>
        <w:gridCol w:w="146"/>
        <w:gridCol w:w="847"/>
        <w:gridCol w:w="146"/>
        <w:gridCol w:w="997"/>
        <w:gridCol w:w="146"/>
        <w:gridCol w:w="2419"/>
        <w:gridCol w:w="196"/>
      </w:tblGrid>
      <w:tr>
        <w:trPr/>
        <w:tc>
          <w:tcPr>
            <w:tcW w:w="3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09" w:type="dxa"/>
            <w:gridSpan w:val="4"/>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Three Months Ended</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990" w:type="dxa"/>
            <w:gridSpan w:val="3"/>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Nine Months Ended</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41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2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(31,911)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(44,041)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(69,798)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(168,069)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(19,531)</w:t>
            </w:r>
          </w:p>
        </w:tc>
        <w:tc>
          <w:tcPr>
            <w:tcW w:w="196" w:type="dxa"/>
            <w:tcBorders/>
            <w:shd w:fill="CFF0FC" w:val="clear"/>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8,313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25,467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24,767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8,224 </w:t>
            </w:r>
          </w:p>
        </w:tc>
        <w:tc>
          <w:tcPr>
            <w:tcW w:w="196" w:type="dxa"/>
            <w:tcBorders/>
            <w:shd w:fill="CFF0FC" w:val="clear"/>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and other income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(638)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(3,882)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(4,171)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(10,334)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(845)</w:t>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2,000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(8,713)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96" w:type="dxa"/>
            <w:tcBorders/>
            <w:shd w:fill="CFF0FC" w:val="clear"/>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Benefit (Expense) from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1,217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(149)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1,060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1,223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(725)</w:t>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4,027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10,599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17,375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36,665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5,662 </w:t>
            </w:r>
          </w:p>
        </w:tc>
        <w:tc>
          <w:tcPr>
            <w:tcW w:w="196" w:type="dxa"/>
            <w:tcBorders/>
            <w:shd w:fill="CFF0FC" w:val="clear"/>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Severance and strategic transformation costs</w:t>
            </w:r>
            <w:r>
              <w:rPr>
                <w:rFonts w:ascii="Times New Roman" w:hAnsi="Times New Roman"/>
                <w:color w:val="000000"/>
                <w:sz w:val="11"/>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3,193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2,865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9,199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9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16,821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419"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16"/>
              </w:rPr>
              <w:t xml:space="preserve">2,541 </w:t>
            </w:r>
          </w:p>
        </w:tc>
        <w:tc>
          <w:tcPr>
            <w:tcW w:w="196" w:type="dxa"/>
            <w:tcBorders/>
          </w:tcPr>
          <w:p>
            <w:pPr>
              <w:pStyle w:val="TableContents"/>
              <w:bidi w:val="0"/>
              <w:spacing w:before="0" w:after="283"/>
              <w:jc w:val="left"/>
              <w:rPr>
                <w:sz w:val="4"/>
                <w:szCs w:val="4"/>
              </w:rPr>
            </w:pPr>
            <w:r>
              <w:rPr>
                <w:sz w:val="4"/>
                <w:szCs w:val="4"/>
              </w:rPr>
            </w:r>
          </w:p>
        </w:tc>
      </w:tr>
      <w:tr>
        <w:trPr/>
        <w:tc>
          <w:tcPr>
            <w:tcW w:w="3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(4,718)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16"/>
              </w:rPr>
              <w:t>(12,690)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xml:space="preserve">  — </w:t>
            </w:r>
          </w:p>
        </w:tc>
        <w:tc>
          <w:tcPr>
            <w:tcW w:w="196" w:type="dxa"/>
            <w:tcBorders/>
            <w:shd w:fill="CFF0FC" w:val="clear"/>
          </w:tcPr>
          <w:p>
            <w:pPr>
              <w:pStyle w:val="TableContents"/>
              <w:bidi w:val="0"/>
              <w:spacing w:before="0" w:after="283"/>
              <w:jc w:val="left"/>
              <w:rPr>
                <w:sz w:val="4"/>
                <w:szCs w:val="4"/>
              </w:rPr>
            </w:pPr>
            <w:r>
              <w:rPr>
                <w:sz w:val="4"/>
                <w:szCs w:val="4"/>
              </w:rPr>
            </w:r>
          </w:p>
        </w:tc>
      </w:tr>
      <w:tr>
        <w:trPr/>
        <w:tc>
          <w:tcPr>
            <w:tcW w:w="31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6" w:type="dxa"/>
            <w:gridSpan w:val="2"/>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(12,669)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907" w:type="dxa"/>
            <w:tcBorders>
              <w:bottom w:val="doub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(31,013)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84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(29,581)</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997" w:type="dxa"/>
            <w:tcBorders>
              <w:bottom w:val="doub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$ 111,617)</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419"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(4,674)</w:t>
            </w:r>
          </w:p>
        </w:tc>
        <w:tc>
          <w:tcPr>
            <w:tcW w:w="196"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Severance and strategic transformation costs include expenses associated with the termination of employees and expenses that focus on transforming the strategy of the Company’s sales and growth organization as well as our overall cost structure.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3399</Words>
  <Characters>19418</Characters>
  <CharactersWithSpaces>23195</CharactersWithSpaces>
  <Paragraphs>1493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