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mwl-20260630.htm"/>
      <w:bookmarkStart w:id="1" w:name="ksamwl20260630"/>
      <w:bookmarkEnd w:id="0"/>
      <w:bookmarkEnd w:id="1"/>
      <w:r>
        <w:rPr/>
        <w:t> </w:t>
      </w:r>
    </w:p>
    <w:p>
      <w:pPr>
        <w:pStyle w:val="TextBody"/>
        <w:pBdr>
          <w:top w:val="double" w:sz="4"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001-39515</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44"/>
        </w:rPr>
        <w:t>American Well Corporation</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1861"/>
        <w:gridCol w:w="1816"/>
      </w:tblGrid>
      <w:tr>
        <w:trPr/>
        <w:tc>
          <w:tcPr>
            <w:tcW w:w="186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20-5009396</w:t>
            </w:r>
          </w:p>
        </w:tc>
      </w:tr>
      <w:tr>
        <w:trPr/>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of incorporation)</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Number)</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75 State Street, Ste 100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Boston, MA</w:t>
      </w:r>
      <w:r>
        <w:rPr>
          <w:rFonts w:ascii="Times New Roman" w:hAnsi="Times New Roman"/>
          <w:color w:val="000000"/>
          <w:sz w:val="20"/>
        </w:rPr>
        <w:t xml:space="preserve"> </w:t>
      </w:r>
      <w:r>
        <w:rPr>
          <w:rFonts w:ascii="Times New Roman" w:hAnsi="Times New Roman"/>
          <w:b/>
          <w:color w:val="000000"/>
          <w:sz w:val="20"/>
        </w:rPr>
        <w:t>02109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registrant’s principal executive offices)</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(617) 204-3500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315" w:type="dxa"/>
        <w:jc w:val="left"/>
        <w:tblInd w:w="0" w:type="dxa"/>
        <w:tblLayout w:type="fixed"/>
        <w:tblCellMar>
          <w:top w:w="28" w:type="dxa"/>
          <w:left w:w="28" w:type="dxa"/>
          <w:bottom w:w="28" w:type="dxa"/>
          <w:right w:w="28" w:type="dxa"/>
        </w:tblCellMar>
      </w:tblPr>
      <w:tblGrid>
        <w:gridCol w:w="2251"/>
        <w:gridCol w:w="146"/>
        <w:gridCol w:w="1456"/>
        <w:gridCol w:w="146"/>
        <w:gridCol w:w="331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0"/>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251"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sz w:val="18"/>
              </w:rPr>
            </w:pPr>
            <w:r>
              <w:rPr>
                <w:rFonts w:ascii="Times New Roman" w:hAnsi="Times New Roman"/>
                <w:b/>
                <w:color w:val="000000"/>
                <w:sz w:val="18"/>
              </w:rPr>
              <w:t>Class A common stock,</w:t>
            </w:r>
            <w:r>
              <w:rPr>
                <w:rFonts w:ascii="Times New Roman" w:hAnsi="Times New Roman"/>
                <w:color w:val="000000"/>
                <w:sz w:val="18"/>
              </w:rPr>
              <w:br/>
            </w:r>
            <w:r>
              <w:rPr>
                <w:rFonts w:ascii="Times New Roman" w:hAnsi="Times New Roman"/>
                <w:b/>
                <w:color w:val="000000"/>
                <w:sz w:val="18"/>
              </w:rPr>
              <w:t>par value of $0.01 per share</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b/>
                <w:color w:val="000000"/>
                <w:sz w:val="18"/>
              </w:rPr>
            </w:pPr>
            <w:r>
              <w:rPr>
                <w:rFonts w:ascii="Times New Roman" w:hAnsi="Times New Roman"/>
                <w:b/>
                <w:color w:val="000000"/>
                <w:sz w:val="18"/>
              </w:rPr>
              <w:t>AMWL</w:t>
            </w:r>
          </w:p>
        </w:tc>
        <w:tc>
          <w:tcPr>
            <w:tcW w:w="146" w:type="dxa"/>
            <w:tcBorders/>
            <w:tcMar>
              <w:top w:w="0" w:type="dxa"/>
              <w:left w:w="0" w:type="dxa"/>
              <w:bottom w:w="0" w:type="dxa"/>
              <w:right w:w="0" w:type="dxa"/>
            </w:tcMar>
            <w:vAlign w:val="center"/>
          </w:tcPr>
          <w:p>
            <w:pPr>
              <w:pStyle w:val="TableContents"/>
              <w:bidi w:val="0"/>
              <w:spacing w:before="2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b/>
                <w:color w:val="000000"/>
                <w:sz w:val="18"/>
              </w:rPr>
            </w:pPr>
            <w:r>
              <w:rPr>
                <w:rFonts w:ascii="Times New Roman" w:hAnsi="Times New Roman"/>
                <w:b/>
                <w:color w:val="000000"/>
                <w:sz w:val="18"/>
              </w:rPr>
              <w:t>The New York Stock Exchange</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60" w:after="283"/>
        <w:jc w:val="left"/>
        <w:rPr/>
      </w:pPr>
      <w:r>
        <w:rPr/>
        <w:t> </w:t>
      </w:r>
    </w:p>
    <w:p>
      <w:pPr>
        <w:pStyle w:val="TextBody"/>
        <w:bidi w:val="0"/>
        <w:jc w:val="left"/>
        <w:rPr>
          <w:rFonts w:ascii="Times New Roman" w:hAnsi="Times New Roman"/>
          <w:sz w:val="20"/>
        </w:rPr>
      </w:pPr>
      <w:r>
        <w:rPr>
          <w:rFonts w:ascii="Times New Roman" w:hAnsi="Times New Roman"/>
          <w:color w:val="000000"/>
          <w:sz w:val="18"/>
        </w:rPr>
        <w:t>As of July 24, 2026, the number of shares of the registrant’s Class A common stock outstanding was 15,361,463, the number of shares of the registrant’s Class B common stock outstanding was 1,369,518</w:t>
      </w:r>
      <w:r>
        <w:rPr>
          <w:rFonts w:ascii="Times New Roman" w:hAnsi="Times New Roman"/>
          <w:color w:val="000000"/>
          <w:sz w:val="20"/>
        </w:rPr>
        <w:t xml:space="preserve"> </w:t>
      </w:r>
      <w:r>
        <w:rPr>
          <w:rFonts w:ascii="Times New Roman" w:hAnsi="Times New Roman"/>
          <w:color w:val="000000"/>
          <w:sz w:val="18"/>
        </w:rPr>
        <w:t>and the number of shares of the registrant’s Class C common stock outstanding was 277,777.</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American Well 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QUARTERLY REPORT ON FORM 10-Q</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period ended June 30, 2026</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28"/>
        <w:gridCol w:w="8465"/>
        <w:gridCol w:w="512"/>
      </w:tblGrid>
      <w:tr>
        <w:trPr/>
        <w:tc>
          <w:tcPr>
            <w:tcW w:w="1228" w:type="dxa"/>
            <w:tcBorders/>
            <w:vAlign w:val="center"/>
          </w:tcPr>
          <w:p>
            <w:pPr>
              <w:pStyle w:val="TableContents"/>
              <w:bidi w:val="0"/>
              <w:spacing w:before="0" w:after="283"/>
              <w:jc w:val="left"/>
              <w:rPr>
                <w:sz w:val="4"/>
                <w:szCs w:val="4"/>
              </w:rPr>
            </w:pPr>
            <w:r>
              <w:rPr>
                <w:sz w:val="4"/>
                <w:szCs w:val="4"/>
              </w:rPr>
            </w:r>
          </w:p>
        </w:tc>
        <w:tc>
          <w:tcPr>
            <w:tcW w:w="846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1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PART I</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1.</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1_financial_statements">
              <w:r>
                <w:rPr>
                  <w:rStyle w:val="InternetLink"/>
                  <w:rFonts w:ascii="Times New Roman" w:hAnsi="Times New Roman"/>
                  <w:color w:val="0000FF"/>
                  <w:sz w:val="20"/>
                  <w:u w:val="single"/>
                </w:rPr>
                <w:t>Financial Statements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pPr>
            <w:r>
              <w:rPr/>
              <w:t> </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condensed_consolidated_balance_sheets">
              <w:r>
                <w:rPr>
                  <w:rStyle w:val="InternetLink"/>
                  <w:rFonts w:ascii="Times New Roman" w:hAnsi="Times New Roman"/>
                  <w:color w:val="0000FF"/>
                  <w:sz w:val="20"/>
                  <w:u w:val="single"/>
                </w:rPr>
                <w:t>Condensed Consolidated Balance Sheet as of June 30, 2026 (unaudited) and December 31, 2025</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pPr>
            <w:r>
              <w:rPr/>
              <w:t> </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condensed_consolidated_statements_operat">
              <w:r>
                <w:rPr>
                  <w:rStyle w:val="InternetLink"/>
                  <w:rFonts w:ascii="Times New Roman" w:hAnsi="Times New Roman"/>
                  <w:color w:val="0000FF"/>
                  <w:sz w:val="20"/>
                  <w:u w:val="single"/>
                </w:rPr>
                <w:t>Condensed Consolidated Statement of Operations and Comprehensive Loss (unaudited) for the three and six months ended June 30, 2026 and</w:t>
              </w:r>
            </w:hyperlink>
            <w:hyperlink w:anchor="condensed_consolidated_statements_operat">
              <w:r>
                <w:rPr>
                  <w:rStyle w:val="InternetLink"/>
                  <w:rFonts w:ascii="Times New Roman" w:hAnsi="Times New Roman"/>
                  <w:color w:val="0000FF"/>
                  <w:sz w:val="20"/>
                </w:rPr>
                <w:t xml:space="preserve"> </w:t>
              </w:r>
            </w:hyperlink>
            <w:r>
              <w:rPr>
                <w:rFonts w:ascii="Times New Roman" w:hAnsi="Times New Roman"/>
                <w:color w:val="0000FF"/>
                <w:sz w:val="20"/>
                <w:u w:val="single"/>
              </w:rPr>
              <w:t>2025</w:t>
            </w:r>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pPr>
            <w:r>
              <w:rPr/>
              <w:t> </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condensed_consolidated_equity">
              <w:r>
                <w:rPr>
                  <w:rStyle w:val="InternetLink"/>
                  <w:rFonts w:ascii="Times New Roman" w:hAnsi="Times New Roman"/>
                  <w:color w:val="0000FF"/>
                  <w:sz w:val="20"/>
                  <w:u w:val="single"/>
                </w:rPr>
                <w:t>Condensed Consolidated Statement of Stockholders’ Equity (unaudited) for the three and six months ended June 30, 2026 and 2025</w:t>
              </w:r>
            </w:hyperlink>
            <w:hyperlink w:anchor="condensed_consolidated_equity">
              <w:r>
                <w:rPr>
                  <w:rStyle w:val="InternetLink"/>
                  <w:rFonts w:ascii="Times New Roman" w:hAnsi="Times New Roman"/>
                  <w:color w:val="0000FF"/>
                  <w:sz w:val="20"/>
                </w:rPr>
                <w:t xml:space="preserve"> </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pPr>
            <w:r>
              <w:rPr/>
              <w:t> </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condensed_consolidated_statements_cash_f">
              <w:r>
                <w:rPr>
                  <w:rStyle w:val="InternetLink"/>
                  <w:rFonts w:ascii="Times New Roman" w:hAnsi="Times New Roman"/>
                  <w:color w:val="0000FF"/>
                  <w:sz w:val="20"/>
                  <w:u w:val="single"/>
                </w:rPr>
                <w:t>Condensed Consolidated Statement of Cash Flows (unaudited) for the six months ended June 30, 2026 and 2025</w:t>
              </w:r>
            </w:hyperlink>
            <w:hyperlink w:anchor="condensed_consolidated_statements_cash_f">
              <w:r>
                <w:rPr>
                  <w:rStyle w:val="InternetLink"/>
                  <w:rFonts w:ascii="Times New Roman" w:hAnsi="Times New Roman"/>
                  <w:color w:val="0000FF"/>
                  <w:sz w:val="20"/>
                </w:rPr>
                <w:t xml:space="preserve"> </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sz w:val="4"/>
                <w:szCs w:val="4"/>
              </w:rPr>
            </w:pPr>
            <w:r>
              <w:rPr>
                <w:sz w:val="4"/>
                <w:szCs w:val="4"/>
              </w:rPr>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notes_to_condensed_consolidated_financia">
              <w:r>
                <w:rPr>
                  <w:rStyle w:val="InternetLink"/>
                  <w:rFonts w:ascii="Times New Roman" w:hAnsi="Times New Roman"/>
                  <w:color w:val="0000FF"/>
                  <w:sz w:val="20"/>
                  <w:u w:val="single"/>
                </w:rPr>
                <w:t>Notes to the Unaudited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2</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2_managements_discussion_analysis_1">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18</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3.</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3_qualitative_quantitative_disclosu">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28</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4.</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PART II</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part_ii_o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1.</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1A.</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1a_risk_factors">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2.</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29</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3.</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30</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4.</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30</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5.</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5_o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30</w:t>
            </w:r>
          </w:p>
        </w:tc>
      </w:tr>
      <w:tr>
        <w:trPr/>
        <w:tc>
          <w:tcPr>
            <w:tcW w:w="1228" w:type="dxa"/>
            <w:tcBorders/>
            <w:tcMar>
              <w:top w:w="0" w:type="dxa"/>
              <w:left w:w="0" w:type="dxa"/>
              <w:bottom w:w="0" w:type="dxa"/>
              <w:right w:w="0" w:type="dxa"/>
            </w:tcMar>
            <w:vAlign w:val="center"/>
          </w:tcPr>
          <w:p>
            <w:pPr>
              <w:pStyle w:val="TableContents"/>
              <w:bidi w:val="0"/>
              <w:spacing w:before="0" w:after="283"/>
              <w:ind w:left="0" w:right="0" w:firstLine="492"/>
              <w:jc w:val="left"/>
              <w:rPr>
                <w:rFonts w:ascii="Times New Roman" w:hAnsi="Times New Roman"/>
                <w:color w:val="000000"/>
                <w:sz w:val="20"/>
              </w:rPr>
            </w:pPr>
            <w:r>
              <w:rPr>
                <w:rFonts w:ascii="Times New Roman" w:hAnsi="Times New Roman"/>
                <w:color w:val="000000"/>
                <w:sz w:val="20"/>
              </w:rPr>
              <w:t>Item 6.</w:t>
            </w:r>
          </w:p>
        </w:tc>
        <w:tc>
          <w:tcPr>
            <w:tcW w:w="8465" w:type="dxa"/>
            <w:tcBorders/>
            <w:tcMar>
              <w:top w:w="0" w:type="dxa"/>
              <w:left w:w="0" w:type="dxa"/>
              <w:bottom w:w="0" w:type="dxa"/>
              <w:right w:w="0" w:type="dxa"/>
            </w:tcMar>
            <w:vAlign w:val="center"/>
          </w:tcPr>
          <w:p>
            <w:pPr>
              <w:pStyle w:val="TableContents"/>
              <w:bidi w:val="0"/>
              <w:spacing w:before="0" w:after="283"/>
              <w:ind w:left="0" w:right="0" w:firstLine="492"/>
              <w:jc w:val="left"/>
              <w:rPr/>
            </w:pPr>
            <w:hyperlink w:anchor="item_6_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AMERICAN WELL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071"/>
        <w:gridCol w:w="146"/>
        <w:gridCol w:w="220"/>
        <w:gridCol w:w="1038"/>
        <w:gridCol w:w="166"/>
        <w:gridCol w:w="146"/>
        <w:gridCol w:w="281"/>
        <w:gridCol w:w="1324"/>
        <w:gridCol w:w="813"/>
      </w:tblGrid>
      <w:tr>
        <w:trPr/>
        <w:tc>
          <w:tcPr>
            <w:tcW w:w="6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December 31, 2025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182,328</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Accounts receivable ($30</w:t>
            </w:r>
            <w:r>
              <w:rPr>
                <w:rFonts w:ascii="Times New Roman" w:hAnsi="Times New Roman"/>
                <w:color w:val="000000"/>
                <w:sz w:val="20"/>
              </w:rPr>
              <w:t> </w:t>
            </w:r>
            <w:r>
              <w:rPr>
                <w:rFonts w:ascii="Times New Roman" w:hAnsi="Times New Roman"/>
                <w:color w:val="000000"/>
                <w:sz w:val="19"/>
              </w:rPr>
              <w:t>and $955, from related parties and net of</w:t>
              <w:br/>
              <w:t>   allowances of $11,519</w:t>
            </w:r>
            <w:r>
              <w:rPr>
                <w:rFonts w:ascii="Times New Roman" w:hAnsi="Times New Roman"/>
                <w:color w:val="000000"/>
                <w:sz w:val="20"/>
              </w:rPr>
              <w:t> </w:t>
            </w:r>
            <w:r>
              <w:rPr>
                <w:rFonts w:ascii="Times New Roman" w:hAnsi="Times New Roman"/>
                <w:color w:val="000000"/>
                <w:sz w:val="19"/>
              </w:rPr>
              <w:t>and $9,463,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49,693</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1,187</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contract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2,660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10,813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246,681</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66,073</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3,930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contract acquisition costs,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4,459</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1,624</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323,787</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1,649</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45,308</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3,632</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Deferred revenue ($20</w:t>
            </w:r>
            <w:r>
              <w:rPr>
                <w:rFonts w:ascii="Times New Roman" w:hAnsi="Times New Roman"/>
                <w:color w:val="000000"/>
                <w:sz w:val="20"/>
              </w:rPr>
              <w:t> </w:t>
            </w:r>
            <w:r>
              <w:rPr>
                <w:rFonts w:ascii="Times New Roman" w:hAnsi="Times New Roman"/>
                <w:color w:val="000000"/>
                <w:sz w:val="19"/>
              </w:rPr>
              <w:t>and $113</w:t>
            </w:r>
            <w:r>
              <w:rPr>
                <w:rFonts w:ascii="Times New Roman" w:hAnsi="Times New Roman"/>
                <w:color w:val="000000"/>
                <w:sz w:val="20"/>
              </w:rPr>
              <w:t> </w:t>
            </w:r>
            <w:r>
              <w:rPr>
                <w:rFonts w:ascii="Times New Roman" w:hAnsi="Times New Roman"/>
                <w:color w:val="000000"/>
                <w:sz w:val="19"/>
              </w:rPr>
              <w:t>from related parties,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22,625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73,214</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1,075</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892</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818</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75,999</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$0.01</w:t>
            </w:r>
            <w:r>
              <w:rPr>
                <w:rFonts w:ascii="Times New Roman" w:hAnsi="Times New Roman"/>
                <w:color w:val="000000"/>
                <w:sz w:val="20"/>
              </w:rPr>
              <w:t> </w:t>
            </w:r>
            <w:r>
              <w:rPr>
                <w:rFonts w:ascii="Times New Roman" w:hAnsi="Times New Roman"/>
                <w:color w:val="000000"/>
                <w:sz w:val="19"/>
              </w:rPr>
              <w:t>par value; 100,000,000</w:t>
            </w:r>
            <w:r>
              <w:rPr>
                <w:rFonts w:ascii="Times New Roman" w:hAnsi="Times New Roman"/>
                <w:color w:val="000000"/>
                <w:sz w:val="20"/>
              </w:rPr>
              <w:t> </w:t>
            </w:r>
            <w:r>
              <w:rPr>
                <w:rFonts w:ascii="Times New Roman" w:hAnsi="Times New Roman"/>
                <w:color w:val="000000"/>
                <w:sz w:val="19"/>
              </w:rPr>
              <w:t>shares authorized, no</w:t>
            </w:r>
            <w:r>
              <w:rPr>
                <w:rFonts w:ascii="Times New Roman" w:hAnsi="Times New Roman"/>
                <w:color w:val="000000"/>
                <w:sz w:val="20"/>
              </w:rPr>
              <w:t> </w:t>
            </w:r>
            <w:r>
              <w:rPr>
                <w:rFonts w:ascii="Times New Roman" w:hAnsi="Times New Roman"/>
                <w:color w:val="000000"/>
                <w:sz w:val="19"/>
              </w:rPr>
              <w:t xml:space="preserve">shares issued </w:t>
              <w:br/>
              <w:t>   or outstanding as of June 30, 2026 and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Common stock, $0.01</w:t>
            </w:r>
            <w:r>
              <w:rPr>
                <w:rFonts w:ascii="Times New Roman" w:hAnsi="Times New Roman"/>
                <w:color w:val="000000"/>
                <w:sz w:val="20"/>
              </w:rPr>
              <w:t> </w:t>
            </w:r>
            <w:r>
              <w:rPr>
                <w:rFonts w:ascii="Times New Roman" w:hAnsi="Times New Roman"/>
                <w:color w:val="000000"/>
                <w:sz w:val="19"/>
              </w:rPr>
              <w:t>par value; 1,000,000,000</w:t>
            </w:r>
            <w:r>
              <w:rPr>
                <w:rFonts w:ascii="Times New Roman" w:hAnsi="Times New Roman"/>
                <w:color w:val="000000"/>
                <w:sz w:val="20"/>
              </w:rPr>
              <w:t> </w:t>
            </w:r>
            <w:r>
              <w:rPr>
                <w:rFonts w:ascii="Times New Roman" w:hAnsi="Times New Roman"/>
                <w:color w:val="000000"/>
                <w:sz w:val="19"/>
              </w:rPr>
              <w:t>Class A shares authorized, 15,277,711</w:t>
              <w:br/>
              <w:t>   and 14,782,788</w:t>
            </w:r>
            <w:r>
              <w:rPr>
                <w:rFonts w:ascii="Times New Roman" w:hAnsi="Times New Roman"/>
                <w:color w:val="000000"/>
                <w:sz w:val="20"/>
              </w:rPr>
              <w:t> </w:t>
            </w:r>
            <w:r>
              <w:rPr>
                <w:rFonts w:ascii="Times New Roman" w:hAnsi="Times New Roman"/>
                <w:color w:val="000000"/>
                <w:sz w:val="19"/>
              </w:rPr>
              <w:t>shares issued and outstanding, respectively; 100,000,000</w:t>
            </w:r>
            <w:r>
              <w:rPr>
                <w:rFonts w:ascii="Times New Roman" w:hAnsi="Times New Roman"/>
                <w:color w:val="000000"/>
                <w:sz w:val="20"/>
              </w:rPr>
              <w:t> </w:t>
            </w:r>
            <w:r>
              <w:rPr>
                <w:rFonts w:ascii="Times New Roman" w:hAnsi="Times New Roman"/>
                <w:color w:val="000000"/>
                <w:sz w:val="19"/>
              </w:rPr>
              <w:t xml:space="preserve">Class B </w:t>
              <w:br/>
              <w:t>   shares authorized, 1,369,518</w:t>
            </w:r>
            <w:r>
              <w:rPr>
                <w:rFonts w:ascii="Times New Roman" w:hAnsi="Times New Roman"/>
                <w:color w:val="000000"/>
                <w:sz w:val="20"/>
              </w:rPr>
              <w:t> </w:t>
            </w:r>
            <w:r>
              <w:rPr>
                <w:rFonts w:ascii="Times New Roman" w:hAnsi="Times New Roman"/>
                <w:color w:val="000000"/>
                <w:sz w:val="19"/>
              </w:rPr>
              <w:t>shares issued and outstanding; 200,000,000</w:t>
            </w:r>
            <w:r>
              <w:rPr>
                <w:rFonts w:ascii="Times New Roman" w:hAnsi="Times New Roman"/>
                <w:color w:val="000000"/>
                <w:sz w:val="20"/>
              </w:rPr>
              <w:t> </w:t>
            </w:r>
            <w:r>
              <w:rPr>
                <w:rFonts w:ascii="Times New Roman" w:hAnsi="Times New Roman"/>
                <w:color w:val="000000"/>
                <w:sz w:val="19"/>
              </w:rPr>
              <w:t xml:space="preserve">Class C </w:t>
              <w:br/>
              <w:t>   shares authorized 277,777</w:t>
            </w:r>
            <w:r>
              <w:rPr>
                <w:rFonts w:ascii="Times New Roman" w:hAnsi="Times New Roman"/>
                <w:color w:val="000000"/>
                <w:sz w:val="20"/>
              </w:rPr>
              <w:t> </w:t>
            </w:r>
            <w:r>
              <w:rPr>
                <w:rFonts w:ascii="Times New Roman" w:hAnsi="Times New Roman"/>
                <w:color w:val="000000"/>
                <w:sz w:val="19"/>
              </w:rPr>
              <w:t xml:space="preserve">issued and outstanding as of June 30, 2026 and as of </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2,313,775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2,309,145</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(12,099</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(2,082,441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(2,061,628</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American Well Corporation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235,583</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12,205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234,309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247,788</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323,787</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AMERICAN WELL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 $833, $614 and $1,265 from related parties,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Costs of revenue, excluding depreciation and amortization of </w:t>
              <w:br/>
              <w: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and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on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expense from income taxes and loss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American Well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loss per share attributable to common stockholders, basic and </w:t>
              <w:br/>
              <w:t>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16,761,044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15,892,970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16,675,831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15,783,281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Comprehensive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loss attributable to American Well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AMERICAN WELL CORPORATION</w:t>
      </w:r>
    </w:p>
    <w:p>
      <w:pPr>
        <w:pStyle w:val="TextBody"/>
        <w:bidi w:val="0"/>
        <w:jc w:val="center"/>
        <w:rPr>
          <w:rFonts w:ascii="Times New Roman" w:hAnsi="Times New Roman"/>
          <w:b/>
          <w:color w:val="000000"/>
          <w:sz w:val="20"/>
        </w:rPr>
      </w:pPr>
      <w:bookmarkStart w:id="6" w:name="condensed_consolidated_equity"/>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848" w:type="dxa"/>
        <w:jc w:val="left"/>
        <w:tblInd w:w="0" w:type="dxa"/>
        <w:tblLayout w:type="fixed"/>
        <w:tblCellMar>
          <w:top w:w="28" w:type="dxa"/>
          <w:left w:w="28" w:type="dxa"/>
          <w:bottom w:w="28" w:type="dxa"/>
          <w:right w:w="28" w:type="dxa"/>
        </w:tblCellMar>
      </w:tblPr>
      <w:tblGrid>
        <w:gridCol w:w="946"/>
        <w:gridCol w:w="146"/>
        <w:gridCol w:w="146"/>
        <w:gridCol w:w="796"/>
        <w:gridCol w:w="151"/>
        <w:gridCol w:w="146"/>
        <w:gridCol w:w="216"/>
        <w:gridCol w:w="415"/>
        <w:gridCol w:w="146"/>
        <w:gridCol w:w="146"/>
        <w:gridCol w:w="181"/>
        <w:gridCol w:w="721"/>
        <w:gridCol w:w="151"/>
        <w:gridCol w:w="146"/>
        <w:gridCol w:w="263"/>
        <w:gridCol w:w="833"/>
        <w:gridCol w:w="151"/>
        <w:gridCol w:w="146"/>
        <w:gridCol w:w="181"/>
        <w:gridCol w:w="766"/>
        <w:gridCol w:w="151"/>
        <w:gridCol w:w="146"/>
        <w:gridCol w:w="218"/>
        <w:gridCol w:w="728"/>
        <w:gridCol w:w="151"/>
        <w:gridCol w:w="146"/>
        <w:gridCol w:w="276"/>
        <w:gridCol w:w="805"/>
        <w:gridCol w:w="146"/>
        <w:gridCol w:w="146"/>
        <w:gridCol w:w="218"/>
        <w:gridCol w:w="728"/>
        <w:gridCol w:w="19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 xml:space="preserve">Other </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American Well</w:t>
              <w:br/>
              <w:t>Corporation</w:t>
              <w:b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Balances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16,430,083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2,309,145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(12,099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(2,061,628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235,583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247,788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Vesting of restricted stock units, including units with a market condition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166,846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repurchased and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61,939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(10,301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Balances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16,658,772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2,311,750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(2,072,514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227,332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240,122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Vesting of restricted stock units, including units with a market condition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266,329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repurchased and retired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5"/>
              </w:rPr>
              <w:t>Balances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16,925,006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2,313,775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(10,287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(2,082,441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221,217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234,309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tbl>
      <w:tblPr>
        <w:tblW w:w="10848" w:type="dxa"/>
        <w:jc w:val="left"/>
        <w:tblInd w:w="0" w:type="dxa"/>
        <w:tblLayout w:type="fixed"/>
        <w:tblCellMar>
          <w:top w:w="28" w:type="dxa"/>
          <w:left w:w="28" w:type="dxa"/>
          <w:bottom w:w="28" w:type="dxa"/>
          <w:right w:w="28" w:type="dxa"/>
        </w:tblCellMar>
      </w:tblPr>
      <w:tblGrid>
        <w:gridCol w:w="946"/>
        <w:gridCol w:w="146"/>
        <w:gridCol w:w="146"/>
        <w:gridCol w:w="796"/>
        <w:gridCol w:w="151"/>
        <w:gridCol w:w="146"/>
        <w:gridCol w:w="216"/>
        <w:gridCol w:w="415"/>
        <w:gridCol w:w="146"/>
        <w:gridCol w:w="146"/>
        <w:gridCol w:w="181"/>
        <w:gridCol w:w="721"/>
        <w:gridCol w:w="151"/>
        <w:gridCol w:w="146"/>
        <w:gridCol w:w="263"/>
        <w:gridCol w:w="833"/>
        <w:gridCol w:w="151"/>
        <w:gridCol w:w="146"/>
        <w:gridCol w:w="181"/>
        <w:gridCol w:w="766"/>
        <w:gridCol w:w="151"/>
        <w:gridCol w:w="146"/>
        <w:gridCol w:w="218"/>
        <w:gridCol w:w="728"/>
        <w:gridCol w:w="151"/>
        <w:gridCol w:w="146"/>
        <w:gridCol w:w="276"/>
        <w:gridCol w:w="805"/>
        <w:gridCol w:w="146"/>
        <w:gridCol w:w="146"/>
        <w:gridCol w:w="218"/>
        <w:gridCol w:w="728"/>
        <w:gridCol w:w="19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 xml:space="preserve">Other </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American Well</w:t>
              <w:br/>
              <w:t>Corporation</w:t>
              <w:br/>
              <w:t>Stockholders’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Balances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15,570,172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2,286,380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(15,840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(1,965,924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304,772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316,244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Vesting of restricted stock units, including units with a market condition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137,838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repurchased and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77,083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(18,704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(18,356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Balances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15,784,916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2,294,608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(1,984,629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293,954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305,774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Vesting of restricted stock units, including units with a market condition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304,432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Shares repurchased and retired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(19,531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5"/>
              </w:rPr>
              <w:t>Balances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16,089,191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2,300,267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(2,004,326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282,588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294,573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AMERICAN WELL CORPORATION</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791" w:type="dxa"/>
        <w:jc w:val="left"/>
        <w:tblInd w:w="0" w:type="dxa"/>
        <w:tblLayout w:type="fixed"/>
        <w:tblCellMar>
          <w:top w:w="28" w:type="dxa"/>
          <w:left w:w="28" w:type="dxa"/>
          <w:bottom w:w="28" w:type="dxa"/>
          <w:right w:w="28" w:type="dxa"/>
        </w:tblCellMar>
      </w:tblPr>
      <w:tblGrid>
        <w:gridCol w:w="6451"/>
        <w:gridCol w:w="146"/>
        <w:gridCol w:w="219"/>
        <w:gridCol w:w="811"/>
        <w:gridCol w:w="172"/>
        <w:gridCol w:w="151"/>
        <w:gridCol w:w="219"/>
        <w:gridCol w:w="811"/>
        <w:gridCol w:w="811"/>
      </w:tblGrid>
      <w:tr>
        <w:trPr/>
        <w:tc>
          <w:tcPr>
            <w:tcW w:w="6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(19,926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(37,887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Impairment on right of 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14,606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16,025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Provisions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2,741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deferred contract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Amortization of deferred contract fulfillment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Inventory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Net gain on divestiture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4,337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13,349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Loss on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(5,677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10,767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contract acquisition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(1,350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13,809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3,437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(13,394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9,734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(29,832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Capitalized software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(5,630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divestiture, net of cash divested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7,027</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20,400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1,384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19,391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for the 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303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542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Effect of exchange rates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2,197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9"/>
              </w:rPr>
            </w:pPr>
            <w:r>
              <w:rPr>
                <w:rFonts w:ascii="Times New Roman" w:hAnsi="Times New Roman"/>
                <w:b/>
                <w:color w:val="000000"/>
                <w:sz w:val="19"/>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13,618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(9,244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183,123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229,111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196,741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219,867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195,946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219,072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Total 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196,741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219,867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2,252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AMERICAN WELL CORPORATION</w:t>
      </w:r>
    </w:p>
    <w:p>
      <w:pPr>
        <w:pStyle w:val="TextBody"/>
        <w:bidi w:val="0"/>
        <w:jc w:val="center"/>
        <w:rPr>
          <w:rFonts w:ascii="Times New Roman" w:hAnsi="Times New Roman"/>
          <w:sz w:val="20"/>
        </w:rPr>
      </w:pPr>
      <w:bookmarkStart w:id="8" w:name="notes_to_condensed_consolidated_financia"/>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American Well Corporation (the “Company”) was incorporated under the laws of the State of Delaware in June 2006. The Company is headquartered in Boston, Massachusetts. The Company is a leading enterprise software company enabling digital delivery of care for healthcare’s key stakeholders. The Company empowers our clients with the core technology and services necessary to successfully develop and distribute virtual care programs that meet their strategic, operational, financial and clinical objectives under their own brands.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the significant accounting policies described in the Company’s Form 10-K for the fiscal year ended December 31, 2025, that have had a material impact on the consolidated financial statements and related notes.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of America (“GAAP”) and applicable rules and regulations of the Securities and Exchange Commission (the “SEC”) regarding interim financial reporting. In the opinion of the Company’s management, the accompanying unaudited condensed consolidated financial statements contain all adjustments (consisting of normal recurring accruals and adjustments) necessary for the fair statement of the Company’s financial position, results of operations and cash flows at the dates and for the periods indicated. The interim results for the three and six months ended June 30, 2026 are not necessarily indicative of results for the full 2026 calendar year or any other future interim periods. The information included in the interim financial statements should be read in conjunction with the annual consolidated financial statements and accompanying notes included in the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include the accounts of American Well Corporation, its wholly-owned subsidiaries, those of professional corporations, which represent variable interest entities in which American Well has an interest and is the primary beneficiary (“PC”), and National Telehealth Network (“NTN”), an entity in which American Well controls fifty percent or more of the voting shares. Intercompany accounts and transactions have been eliminated in consolidation.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reporting currency is the U.S. dollar. The Company determines the functional currency of each subsidiary based on the currency of the primary economic environment in which each subsidiary operates. Items included in the financial statements of such subsidiaries are measured using that functional currency. Foreign currency denominated monetary assets and liabilities are remeasured into U.S. dollars at current exchange rates and foreign currency denominated nonmonetary assets and liabilities are remeasured into U.S. dollars at historical exchange rates. Gains or losses from foreign currency remeasurement and settlements are included in interest income and other income (expense), net in the condensed consolidated statements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consolidated entities where American Well owns or is exposed to less than 100% of the economics, the net loss attributable to noncontrolling interests is recorded in the condensed consolidated statements of operations and comprehensive loss equal to the percentage of the economic or ownership interest retained in each entity by the respective non-controlling party. The noncontrolling interests are presented as a separate component of stockholders’ equity in the condensed consolidated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reported periods. Significant estimates and assumptions reflected in these condensed consolidated financial statements include, but are not limited to, revenue recognition, the useful lives of intangible assets and the valuation of common stock awards.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from those estimates or assumptions.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chief operating decision maker (CODM), its Chief Executive Officer, is provided financial information presented on a consolidated basis for purposes of allocating resources and evaluating financial performance. The Company operates and manages its business as one reportable and operating segment. In addition, substantially all of the Company’s revenue and long-lived assets are attributable to operations in the United States for all periods presented. </w:t>
      </w:r>
    </w:p>
    <w:p>
      <w:pPr>
        <w:pStyle w:val="TextBody"/>
        <w:bidi w:val="0"/>
        <w:jc w:val="left"/>
        <w:rPr>
          <w:rFonts w:ascii="Times New Roman" w:hAnsi="Times New Roman"/>
          <w:sz w:val="20"/>
        </w:rPr>
      </w:pPr>
      <w:r>
        <w:rPr>
          <w:rFonts w:ascii="Times New Roman" w:hAnsi="Times New Roman"/>
          <w:b/>
          <w:i/>
          <w:color w:val="000000"/>
          <w:sz w:val="20"/>
        </w:rPr>
        <w:t>Variable Interest Entities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its ownership, contractual and other interests in entities to determine if it has any variable interest in a variable interest entity (“VIE”). These evaluations are complex and involve judgment. If the Company determines that an entity in which it holds a contractual or ownership interest is a VIE and that the Company is the primary beneficiary, the Company consolidates such entity in its condensed consolidated financial statements. The primary beneficiary of a VIE is the party that meets both of the following criteria: (i) has the power to make decisions that most significantly affect the economic performance of the VIE; and (ii) has the obligation to absorb losses or the right to receive benefits that in either case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aggregate carrying value of total assets and total liabilities included on the condensed consolidated balance sheets for the PCs after elimination of intercompany transactions were $25,498 and $1,503, respectively, as of June 30, 2026 and $16,810 and $246, respectively as of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revenue included on the condensed consolidated statements of operations and comprehensive loss for the PCs after elimination of intercompany transactions was $7,031 and $7,887 for the three months ended June 30, 2026 and 2025, respectively. Net loss included on the condensed consolidated statements of operations and comprehensive loss was not material for the three months ended June 30, 2026 and 2025. Total revenue included on the condensed consolidated statements of operations and comprehensive loss for the PCs after elimination of intercompany transactions was $15,410 and $17,554 for the six months ended June 30, 2026 and 2025, respectively. Net loss included on the condensed consolidated statements of operations and comprehensive loss was not material for the six months ended June 30, 2026 and 2025.</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 in Minority Owned Joint Venture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2019, the Company and Cleveland Clinic partnered to form a joint venture, under the name CCAW, JV LLC, to provide broad access to comprehensive and high acuity care services via digital care delivery. During 2025, the companies entered into an agreement for the complete liquidation and dissolution of the joint venture. As part of this agreement the Company will continue to support virtual second opinion services that were previously provided by CCAW, JV LLC, though our existing relationship with Cleveland Clinic. Certain business activities will continue through the transition period which will conclude in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six months ended June 30, 2026 the Company did not recognize any loss or income as its proportionate share of the joint venture’s results of operations, as the investment balance was written down to zero. For the three and six months ended June 30, 2025, the Company recognized a loss of $722 and $1,500, as its proportionate share of the joint venture’s results of operations. Accordingly, the carrying value of the equity method investment as of June 30, 2026 and December 31, 2025 was zero.</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Concentrations of Credit Risk and Significant Clients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primarily of cash, cash equivalents, investments and accounts receivable. The Company invests its excess cash with large financial institutions. Cash and cash equivalents are invested in highly rated money market funds. At times, the Company’s cash balances with individual banking institutions are in excess of federally insured limits. The Company’s investments are invested in U.S. government agency bonds. The Company has not experienced any losses on its deposits of cash, cash equivalents or investments. The Company does not believe that it is subject to unusual credit risk beyond the normal credit risk associated with commercial banking relationships.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performs ongoing assessments and credit evaluations of its clients to assess the collectability of the accounts based on a number of factors, including past transaction experience, age of the accounts receivable, review of the invoicing terms of the contracts, and recent communication with clients. The Company has not experienced significant credit losses from its accounts receivable. As of June 30, 2026, one client accounted for 65% of outstanding accounts receivable, and as of December 31, 2025, one client accounted for 53% of outstanding accounts receivable.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2026, sales to two clients represented 38% and 17% of the Company’s total revenue. During the six months ended June 30, 2026, sales to two clients represented 40% and 16% of the Company's total revenue. During the three months ended June 30, 2025, sales to two clients represented 33% and 26% of the Company's total revenue. During the six months ended June 30, 2025, sales to two clients represented 28% and 25% of the Company's total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acquired in a business combination are recognized at fair value using generally accepted valuation methods deemed appropriate for the type of intangible asset acquired and reported net of accumulated amortization, separately from goodwill. Definite-lived intangible assets, which primarily consist of customer relationships, contractor relationships, technology and trade name, are stated at historical cost and amortized over the assets’ estimated useful lives. Intangible assets are re-evaluated whenever events or changes in circumstances indicate that their estimated useful lives may require revision and/or the carrying value of the related asset group may not be recoverable by its projected undiscounted cash flows. If the carrying value of the asset group is determined to be unrecoverable, an impairment charge would be recognized in an amount equal to the amount by which the carrying value of the asset group exceeds its fair value. The Company did not identify a triggering event in the six months ended June 30, 2026 and 2025. No impairments were identified during the six months ended June 30, 2026 and 2025.</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consist primarily of property and equipment and intangible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among others. When testing for asset impairment, the Company groups assets and liabilities at the lowest level for which cash flows are separately identifiable.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the asset’s carrying amount. The impairment loss would be based on the excess of the carrying value of the impaired asset group over its fair value. The Company did not identify a triggering event in the six months ended June 30, 2025 and no impairments were identified during the six months ended June 30, 2025. In the six months ended June 30, 2026 the Company abandoned its corporate headquarters and as part of this fully impaired the right of use asset related to the lease. An impairment charge of $3,424 was recorded in operating expenses in the statement of operations, the lease was not terminated and rent payments will be made over the remaining lease term.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 and Disclosure Rules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which requires disaggregated 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We are evaluating the effect that this guidance will have on our consolidated financial statement disclosures.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Improvements to the Accounting for and Disclosure of Software Costs</w:t>
      </w:r>
      <w:r>
        <w:rPr>
          <w:rFonts w:ascii="Times New Roman" w:hAnsi="Times New Roman"/>
          <w:color w:val="000000"/>
          <w:sz w:val="20"/>
        </w:rPr>
        <w:t>. The new guidance eliminates the prior stage-based model (e.g., preliminary, development, post-implementation) and introduces a principles-based approach. Software costs may be capitalized once (1) management commits to funding the project and (2) it is probable the software will be completed and used for its intended function. Entities must assess whether significant development uncertainty exists. The standard is effective for annual periods beginning after December 15, 2027 and interim reporting periods within those annual reporting periods, with early adoption permitted. Transition options include prospective, modified prospective, or retrospective application. The Company is currently evaluating the impact of ASU 2025-06 on its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and manages its business as one reportable and operating segment. The Company’s Amwell Platform enables hybrid care delivery for our customers. The measure of segment assets is reported on the balance sheet as total consolidated assets. In addition, the Company derives revenue primarily in the United States and manages the business activities on a consolidated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generates revenues from the use of the Amwell Platform in the form of recurring subscription fees for use. We also generate revenue from the performance of patient visits and other related professional services and hardware sales. The accounting policies are the same as those described in the summary of significant accounting policies.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The Company’s chief operating decision maker (CODM), its Chief Executive Officer, reviews financial information presented on a consolidated basis and decides how to allocate resources based on net loss. Consolidated net loss is used for evaluating financial performance. The monitoring of budgeted versus actual results are used in assessing performance of the Company and in establishing management’s compensation.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significant expense categories and amounts align with information that is regularly provided to the CODM. Significant segment expenses, consist of the following:</w:t>
      </w:r>
    </w:p>
    <w:tbl>
      <w:tblPr>
        <w:tblW w:w="8671" w:type="dxa"/>
        <w:jc w:val="left"/>
        <w:tblInd w:w="0" w:type="dxa"/>
        <w:tblLayout w:type="fixed"/>
        <w:tblCellMar>
          <w:top w:w="28" w:type="dxa"/>
          <w:left w:w="28" w:type="dxa"/>
          <w:bottom w:w="28" w:type="dxa"/>
          <w:right w:w="28" w:type="dxa"/>
        </w:tblCellMar>
      </w:tblPr>
      <w:tblGrid>
        <w:gridCol w:w="3156"/>
        <w:gridCol w:w="146"/>
        <w:gridCol w:w="231"/>
        <w:gridCol w:w="741"/>
        <w:gridCol w:w="160"/>
        <w:gridCol w:w="160"/>
        <w:gridCol w:w="231"/>
        <w:gridCol w:w="741"/>
        <w:gridCol w:w="146"/>
        <w:gridCol w:w="146"/>
        <w:gridCol w:w="211"/>
        <w:gridCol w:w="781"/>
        <w:gridCol w:w="146"/>
        <w:gridCol w:w="146"/>
        <w:gridCol w:w="211"/>
        <w:gridCol w:w="781"/>
        <w:gridCol w:w="146"/>
        <w:gridCol w:w="3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23,785</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Consulting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Provider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segment expense items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20,625</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60"/>
        <w:jc w:val="left"/>
        <w:rPr>
          <w:rFonts w:ascii="Times New Roman" w:hAnsi="Times New Roman"/>
          <w:color w:val="000000"/>
          <w:sz w:val="19"/>
        </w:rPr>
      </w:pPr>
      <w:r>
        <w:rPr>
          <w:rFonts w:ascii="Times New Roman" w:hAnsi="Times New Roman"/>
          <w:color w:val="000000"/>
          <w:sz w:val="19"/>
        </w:rPr>
        <w:t>(1) Other segment expense items primarily include hosting, hardware, corporate compliance, severance, strategic transformation costs, amortization, depreciation, bad debt and overhead expenses.</w:t>
      </w:r>
    </w:p>
    <w:p>
      <w:pPr>
        <w:pStyle w:val="TextBody"/>
        <w:bidi w:val="0"/>
        <w:spacing w:before="200" w:after="283"/>
        <w:jc w:val="left"/>
        <w:rPr>
          <w:rFonts w:ascii="Times New Roman" w:hAnsi="Times New Roman"/>
          <w:sz w:val="20"/>
        </w:rPr>
      </w:pPr>
      <w:r>
        <w:rPr>
          <w:rFonts w:ascii="Times New Roman" w:hAnsi="Times New Roman"/>
          <w:b/>
          <w:color w:val="000000"/>
          <w:sz w:val="20"/>
        </w:rPr>
        <w:t>4.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Company’s revenues disaggregated by revenue source: </w:t>
      </w:r>
    </w:p>
    <w:p>
      <w:pPr>
        <w:pStyle w:val="TextBody"/>
        <w:bidi w:val="0"/>
        <w:jc w:val="left"/>
        <w:rPr/>
      </w:pPr>
      <w:r>
        <w:rPr/>
        <w:t> </w:t>
      </w:r>
    </w:p>
    <w:tbl>
      <w:tblPr>
        <w:tblW w:w="7430" w:type="dxa"/>
        <w:jc w:val="left"/>
        <w:tblInd w:w="0" w:type="dxa"/>
        <w:tblLayout w:type="fixed"/>
        <w:tblCellMar>
          <w:top w:w="28" w:type="dxa"/>
          <w:left w:w="28" w:type="dxa"/>
          <w:bottom w:w="28" w:type="dxa"/>
          <w:right w:w="28" w:type="dxa"/>
        </w:tblCellMar>
      </w:tblPr>
      <w:tblGrid>
        <w:gridCol w:w="1861"/>
        <w:gridCol w:w="146"/>
        <w:gridCol w:w="231"/>
        <w:gridCol w:w="741"/>
        <w:gridCol w:w="160"/>
        <w:gridCol w:w="160"/>
        <w:gridCol w:w="231"/>
        <w:gridCol w:w="741"/>
        <w:gridCol w:w="146"/>
        <w:gridCol w:w="146"/>
        <w:gridCol w:w="211"/>
        <w:gridCol w:w="781"/>
        <w:gridCol w:w="146"/>
        <w:gridCol w:w="146"/>
        <w:gridCol w:w="211"/>
        <w:gridCol w:w="781"/>
        <w:gridCol w:w="5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Platform 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72,672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52,048</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137,731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Accounts Receivable,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the allowance for credit losses were as follows: </w:t>
      </w:r>
    </w:p>
    <w:p>
      <w:pPr>
        <w:pStyle w:val="TextBody"/>
        <w:bidi w:val="0"/>
        <w:jc w:val="left"/>
        <w:rPr/>
      </w:pPr>
      <w:r>
        <w:rPr/>
        <w:t> </w:t>
      </w:r>
    </w:p>
    <w:tbl>
      <w:tblPr>
        <w:tblW w:w="9850" w:type="dxa"/>
        <w:jc w:val="left"/>
        <w:tblInd w:w="0" w:type="dxa"/>
        <w:tblLayout w:type="fixed"/>
        <w:tblCellMar>
          <w:top w:w="28" w:type="dxa"/>
          <w:left w:w="28" w:type="dxa"/>
          <w:bottom w:w="28" w:type="dxa"/>
          <w:right w:w="28" w:type="dxa"/>
        </w:tblCellMar>
      </w:tblPr>
      <w:tblGrid>
        <w:gridCol w:w="4306"/>
        <w:gridCol w:w="146"/>
        <w:gridCol w:w="588"/>
        <w:gridCol w:w="1887"/>
        <w:gridCol w:w="166"/>
        <w:gridCol w:w="146"/>
        <w:gridCol w:w="645"/>
        <w:gridCol w:w="1755"/>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has rights to consideration for services completed but not billed at the reporting date. Unbilled receivables are recorded as receivables when the Company has the right to invoice the client. The amount of unbilled accounts receivable included within accounts receivable on the condensed consolidated balance sheet was $9,129 and $4,322 as of June 30, 2026 and December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liabilities consist of deferred revenue and include collections in advance of performance under the contract. Such amounts are recognized as revenue over the contractual period. For the three months ended June 30, 2026 and 2025, the Company recognized revenue of $7,608 and $7,062, respectively, that was included in the corresponding contract liability balance at the beginning of the periods presented. For the six months ended June 30, 2026 and 2025, the Company recognized revenue of $15,942 and $26,906, respectively, that was included in the corresponding contract liability balance at the beginning of the periods presented.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the Company’s deferred revenue balance for the six months ended June 30, 2026 and year ended December 31, 2025 were as follows: </w:t>
      </w:r>
    </w:p>
    <w:tbl>
      <w:tblPr>
        <w:tblW w:w="9505" w:type="dxa"/>
        <w:jc w:val="left"/>
        <w:tblInd w:w="0" w:type="dxa"/>
        <w:tblLayout w:type="fixed"/>
        <w:tblCellMar>
          <w:top w:w="28" w:type="dxa"/>
          <w:left w:w="28" w:type="dxa"/>
          <w:bottom w:w="28" w:type="dxa"/>
          <w:right w:w="28" w:type="dxa"/>
        </w:tblCellMar>
      </w:tblPr>
      <w:tblGrid>
        <w:gridCol w:w="3961"/>
        <w:gridCol w:w="146"/>
        <w:gridCol w:w="551"/>
        <w:gridCol w:w="1924"/>
        <w:gridCol w:w="166"/>
        <w:gridCol w:w="146"/>
        <w:gridCol w:w="481"/>
        <w:gridCol w:w="1919"/>
        <w:gridCol w:w="2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r>
        <w:rPr>
          <w:rFonts w:ascii="Times New Roman" w:hAnsi="Times New Roman"/>
          <w:b/>
          <w:i/>
          <w:color w:val="000000"/>
          <w:sz w:val="20"/>
        </w:rPr>
        <w:t>Transaction Price Allocated to 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the aggregate amount of the transaction price allocated to remaining performance obligations was $84,349 and $85,200, respectively. The substantial majority of the unsatisfied performance obligations will be satisfied over the next three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it pertains to the June 30, 2026 amount, the Company expects to recognize 56% of the transaction price in the 12 month period ended June 30, 2027, in its condensed consolidated statement of operations and comprehensive loss with the remainder recognized thereafter. </w:t>
      </w:r>
    </w:p>
    <w:p>
      <w:pPr>
        <w:pStyle w:val="TextBody"/>
        <w:bidi w:val="0"/>
        <w:spacing w:before="360" w:after="283"/>
        <w:jc w:val="left"/>
        <w:rPr>
          <w:rFonts w:ascii="Times New Roman" w:hAnsi="Times New Roman"/>
          <w:sz w:val="20"/>
        </w:rPr>
      </w:pPr>
      <w:r>
        <w:rPr>
          <w:rFonts w:ascii="Times New Roman" w:hAnsi="Times New Roman"/>
          <w:b/>
          <w:color w:val="000000"/>
          <w:sz w:val="20"/>
        </w:rPr>
        <w:t>5.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the Company’s fair value hierarchy for its assets and liabilities that are measured at fair value on a recurring basis and indicate the level within the fair value hierarchy of the valuation techniques the Company utilized to determine such fair value: </w:t>
      </w:r>
    </w:p>
    <w:p>
      <w:pPr>
        <w:pStyle w:val="TextBody"/>
        <w:bidi w:val="0"/>
        <w:jc w:val="left"/>
        <w:rPr/>
      </w:pPr>
      <w:r>
        <w:rPr/>
        <w:t> </w:t>
      </w:r>
    </w:p>
    <w:tbl>
      <w:tblPr>
        <w:tblW w:w="6538" w:type="dxa"/>
        <w:jc w:val="left"/>
        <w:tblInd w:w="0" w:type="dxa"/>
        <w:tblLayout w:type="fixed"/>
        <w:tblCellMar>
          <w:top w:w="28" w:type="dxa"/>
          <w:left w:w="28" w:type="dxa"/>
          <w:bottom w:w="28" w:type="dxa"/>
          <w:right w:w="28" w:type="dxa"/>
        </w:tblCellMar>
      </w:tblPr>
      <w:tblGrid>
        <w:gridCol w:w="2091"/>
        <w:gridCol w:w="146"/>
        <w:gridCol w:w="211"/>
        <w:gridCol w:w="676"/>
        <w:gridCol w:w="146"/>
        <w:gridCol w:w="146"/>
        <w:gridCol w:w="239"/>
        <w:gridCol w:w="391"/>
        <w:gridCol w:w="146"/>
        <w:gridCol w:w="146"/>
        <w:gridCol w:w="239"/>
        <w:gridCol w:w="391"/>
        <w:gridCol w:w="146"/>
        <w:gridCol w:w="146"/>
        <w:gridCol w:w="211"/>
        <w:gridCol w:w="676"/>
        <w:gridCol w:w="391"/>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538" w:type="dxa"/>
        <w:jc w:val="left"/>
        <w:tblInd w:w="0" w:type="dxa"/>
        <w:tblLayout w:type="fixed"/>
        <w:tblCellMar>
          <w:top w:w="28" w:type="dxa"/>
          <w:left w:w="28" w:type="dxa"/>
          <w:bottom w:w="28" w:type="dxa"/>
          <w:right w:w="28" w:type="dxa"/>
        </w:tblCellMar>
      </w:tblPr>
      <w:tblGrid>
        <w:gridCol w:w="2091"/>
        <w:gridCol w:w="146"/>
        <w:gridCol w:w="211"/>
        <w:gridCol w:w="676"/>
        <w:gridCol w:w="146"/>
        <w:gridCol w:w="146"/>
        <w:gridCol w:w="239"/>
        <w:gridCol w:w="391"/>
        <w:gridCol w:w="146"/>
        <w:gridCol w:w="146"/>
        <w:gridCol w:w="239"/>
        <w:gridCol w:w="391"/>
        <w:gridCol w:w="146"/>
        <w:gridCol w:w="146"/>
        <w:gridCol w:w="211"/>
        <w:gridCol w:w="676"/>
        <w:gridCol w:w="391"/>
      </w:tblGrid>
      <w:tr>
        <w:trPr/>
        <w:tc>
          <w:tcPr>
            <w:tcW w:w="2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cash equivalents were invested in money market funds and were valued based on Level 1 inputs. During the six months ended June 30, 2026, there were no transfers between fair value measurement levels. Interest income for the three months ended June 30, 2026 and 2025 was $1,020 and $1,374, respectively. Interest income for the six months ended June 30, 2026 and 2025 was $1,996 and $2,938,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Divestiture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8, 2025 (the "Closing Date"), the Company and the Company's wholly owned subsidiary, Aligned Telehealth, LLC ("Aligned") entered into an asset purchase agreement relating to the sale of all property and assets owned, leased or licensed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Aligned that are primarily used or held for use in connection with the Company’s business of providing telepsychiatry services to hospitals and correctional programs (the "APC Business"), subject to certain specified exclusions such as cash. In connection with such purchase and sale, the buyer assumed specified contracts and the related accounts receivable and all accounts payable and accrued expenses of the APC Business, and Dr. Cynthia Horner transferred the ownership of Asana Integrated Medical Group (“Asana” and together with Aligned, “APC”), the affiliated clinical partner of Aligned, to a doctor affiliated with the buyer.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divestiture was completed on Closing Date, and the total consideration was comprised of (i) an upfront cash payment of $20,714, subject to customary adjustments and (ii) an additional cash payment (the “Additional Payment”) equal to 0.4x the buyer and its affiliates’ aggregate revenues arising from the provision of the APC Business to current customers and potential customers in the sales pipeline of APC during the twelve-month period immediately following the closing, subject to certain exclusions. The Additional Payment is considered seller contingent consideration and the Company has made an accounting policy election to account for the Additional Payment when realizable.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divestiture of APC did not represent a strategic shift that would have a major effect on the Company's consolidated results of operations, and therefore, its results of operations were not reported as discontinued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the Closing Date, the carrying amounts of the following major assets were derecognized from our condensed consolidated balance sheet:</w:t>
      </w:r>
    </w:p>
    <w:p>
      <w:pPr>
        <w:pStyle w:val="TextBody"/>
        <w:bidi w:val="0"/>
        <w:jc w:val="left"/>
        <w:rPr/>
      </w:pPr>
      <w:r>
        <w:rPr/>
        <w:t> </w:t>
      </w:r>
    </w:p>
    <w:tbl>
      <w:tblPr>
        <w:tblW w:w="2970" w:type="dxa"/>
        <w:jc w:val="left"/>
        <w:tblInd w:w="0" w:type="dxa"/>
        <w:tblLayout w:type="fixed"/>
        <w:tblCellMar>
          <w:top w:w="28" w:type="dxa"/>
          <w:left w:w="28" w:type="dxa"/>
          <w:bottom w:w="28" w:type="dxa"/>
          <w:right w:w="28" w:type="dxa"/>
        </w:tblCellMar>
      </w:tblPr>
      <w:tblGrid>
        <w:gridCol w:w="1771"/>
        <w:gridCol w:w="211"/>
        <w:gridCol w:w="631"/>
        <w:gridCol w:w="166"/>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divested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APC generated revenues of $459 during the three and six months ended June 30, 2025. Given that we operate our business as a single reporting unit, we are unable to reasonably determine stand-alone costs and related earnings or loss before income taxes attributable to the APC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completion of the divestiture of APC the Company recognized a gain of $10,713 during the six months ended June 30, 2025. In relation to the Additional Payment, the Company recognized a gain of $7,027 during the six months ended June 30, 2026. As the Company is in a loss position, no income tax expense related to the taxable gain was recognized during the six months ended June 30, 2026 and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7. Intangible Assets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Identified intangible assets consist of the following: </w:t>
      </w:r>
    </w:p>
    <w:p>
      <w:pPr>
        <w:pStyle w:val="TextBody"/>
        <w:bidi w:val="0"/>
        <w:jc w:val="left"/>
        <w:rPr/>
      </w:pPr>
      <w:r>
        <w:rPr/>
        <w:t> </w:t>
      </w:r>
    </w:p>
    <w:tbl>
      <w:tblPr>
        <w:tblW w:w="7615" w:type="dxa"/>
        <w:jc w:val="left"/>
        <w:tblInd w:w="0" w:type="dxa"/>
        <w:tblLayout w:type="fixed"/>
        <w:tblCellMar>
          <w:top w:w="28" w:type="dxa"/>
          <w:left w:w="28" w:type="dxa"/>
          <w:bottom w:w="28" w:type="dxa"/>
          <w:right w:w="28" w:type="dxa"/>
        </w:tblCellMar>
      </w:tblPr>
      <w:tblGrid>
        <w:gridCol w:w="2536"/>
        <w:gridCol w:w="146"/>
        <w:gridCol w:w="211"/>
        <w:gridCol w:w="781"/>
        <w:gridCol w:w="146"/>
        <w:gridCol w:w="146"/>
        <w:gridCol w:w="216"/>
        <w:gridCol w:w="865"/>
        <w:gridCol w:w="166"/>
        <w:gridCol w:w="146"/>
        <w:gridCol w:w="211"/>
        <w:gridCol w:w="676"/>
        <w:gridCol w:w="146"/>
        <w:gridCol w:w="146"/>
        <w:gridCol w:w="255"/>
        <w:gridCol w:w="631"/>
        <w:gridCol w:w="191"/>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Life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 developed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Life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 developed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capitalized $2,849 and $5,630 in the three and six months ended June 30, 2026 and nothing in the three and six months ended June 30, 2025, related to internally developed software to be sold as a service incurred during the application development stage. The Company is amortizing these costs over the expected lives of the related services. Amortization expense related to intangible assets for the three months ended June 30, 2026 and 2025 was $6,995 and $8,177, respectively. Amortization expense related to intangible assets for the six months ended June 30, 2026 and 2025 was $14,533 and $15,926, respectively.</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8.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w:t>
      </w:r>
    </w:p>
    <w:p>
      <w:pPr>
        <w:pStyle w:val="TextBody"/>
        <w:bidi w:val="0"/>
        <w:jc w:val="left"/>
        <w:rPr/>
      </w:pPr>
      <w:r>
        <w:rPr/>
        <w:t> </w:t>
      </w:r>
    </w:p>
    <w:tbl>
      <w:tblPr>
        <w:tblW w:w="6420" w:type="dxa"/>
        <w:jc w:val="left"/>
        <w:tblInd w:w="0" w:type="dxa"/>
        <w:tblLayout w:type="fixed"/>
        <w:tblCellMar>
          <w:top w:w="28" w:type="dxa"/>
          <w:left w:w="28" w:type="dxa"/>
          <w:bottom w:w="28" w:type="dxa"/>
          <w:right w:w="28" w:type="dxa"/>
        </w:tblCellMar>
      </w:tblPr>
      <w:tblGrid>
        <w:gridCol w:w="3166"/>
        <w:gridCol w:w="146"/>
        <w:gridCol w:w="267"/>
        <w:gridCol w:w="858"/>
        <w:gridCol w:w="146"/>
        <w:gridCol w:w="146"/>
        <w:gridCol w:w="357"/>
        <w:gridCol w:w="1143"/>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accrual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9.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Undesignated Preferred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Amended and Restated Certificate of Incorporation authorizes the issuance of 100,000,000 shares of undesignated preferred stock, par value of $0.01 per share, with rights and preferences, including voting rights, designated from time to time by the board of directors. No shares of preferred stock were issued or outstanding as of June 30, 2026 and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three and six months ended June 30, 2026 and 2025, no shares of Class B common stock were converted to Class A common stock. As of June 30, 2026, the par value of the Class A, Class B and Class C shares was $153, $14, and $3, respectively. As of December 31, 2025 the aggregate par value of the Class A, Class B and Class C shares was $148, $14 and $3, respectively.</w:t>
      </w:r>
    </w:p>
    <w:p>
      <w:pPr>
        <w:pStyle w:val="TextBody"/>
        <w:bidi w:val="0"/>
        <w:jc w:val="left"/>
        <w:rPr/>
      </w:pPr>
      <w:r>
        <w:rPr/>
        <w:t> </w:t>
      </w:r>
    </w:p>
    <w:tbl>
      <w:tblPr>
        <w:tblW w:w="7747" w:type="dxa"/>
        <w:jc w:val="left"/>
        <w:tblInd w:w="0" w:type="dxa"/>
        <w:tblLayout w:type="fixed"/>
        <w:tblCellMar>
          <w:top w:w="28" w:type="dxa"/>
          <w:left w:w="28" w:type="dxa"/>
          <w:bottom w:w="28" w:type="dxa"/>
          <w:right w:w="28" w:type="dxa"/>
        </w:tblCellMar>
      </w:tblPr>
      <w:tblGrid>
        <w:gridCol w:w="736"/>
        <w:gridCol w:w="146"/>
        <w:gridCol w:w="146"/>
        <w:gridCol w:w="1294"/>
        <w:gridCol w:w="146"/>
        <w:gridCol w:w="146"/>
        <w:gridCol w:w="287"/>
        <w:gridCol w:w="2038"/>
        <w:gridCol w:w="146"/>
        <w:gridCol w:w="146"/>
        <w:gridCol w:w="286"/>
        <w:gridCol w:w="2039"/>
        <w:gridCol w:w="19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Authorized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 and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 and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15,277,711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14,782,788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1,369,518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16,925,006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16,430,083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had reserved 5,065,363 and 4,619,313 shares of common stock for the exercise of outstanding stock options, the vesting of restricted stock units, the vesting of performance-based market condition share awards, and the number of shares remaining available for future grant, respectively. </w:t>
      </w:r>
    </w:p>
    <w:p>
      <w:pPr>
        <w:pStyle w:val="TextBody"/>
        <w:bidi w:val="0"/>
        <w:spacing w:before="360" w:after="283"/>
        <w:jc w:val="left"/>
        <w:rPr>
          <w:rFonts w:ascii="Times New Roman" w:hAnsi="Times New Roman"/>
          <w:sz w:val="20"/>
        </w:rPr>
      </w:pPr>
      <w:r>
        <w:rPr>
          <w:rFonts w:ascii="Times New Roman" w:hAnsi="Times New Roman"/>
          <w:b/>
          <w:i/>
          <w:color w:val="000000"/>
          <w:sz w:val="20"/>
        </w:rPr>
        <w:t>Stock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the 2006 Employee, Director and Consultant Stock Plan as amended and restated (the “2006 Plan”), the 2020 Equity Incentive Plan (the “2020 Plan”) and 2024 Inducement Plan (the “2024 Plan”), together, the “Plans,” under which it has granted incentive stock options, non-qualified stock options, cash based awards, restricted stock units and performance stock units to employees, officers, and directors of the Company. In connection with the adoption of the 2020 Plan, the then-remaining shares of common stock reserved for grant or issuance under the 2006 Plan became available for issuance under the 2020 Plan, and no further grants will be made under the 2006 Plan. </w:t>
      </w:r>
    </w:p>
    <w:p>
      <w:pPr>
        <w:pStyle w:val="TextBody"/>
        <w:bidi w:val="0"/>
        <w:spacing w:before="36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Activity under the Plans is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5"/>
        <w:gridCol w:w="146"/>
        <w:gridCol w:w="146"/>
        <w:gridCol w:w="781"/>
        <w:gridCol w:w="166"/>
        <w:gridCol w:w="146"/>
        <w:gridCol w:w="265"/>
        <w:gridCol w:w="852"/>
        <w:gridCol w:w="146"/>
        <w:gridCol w:w="146"/>
        <w:gridCol w:w="413"/>
        <w:gridCol w:w="1026"/>
        <w:gridCol w:w="146"/>
        <w:gridCol w:w="146"/>
        <w:gridCol w:w="438"/>
        <w:gridCol w:w="722"/>
        <w:gridCol w:w="195"/>
      </w:tblGrid>
      <w:tr>
        <w:trPr/>
        <w:tc>
          <w:tcPr>
            <w:tcW w:w="4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No options were exercised or granted in the six months ended June 30, 2026 and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Restricted Stock Units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Activity for the restricted stock units is as follows: </w:t>
      </w:r>
    </w:p>
    <w:p>
      <w:pPr>
        <w:pStyle w:val="TextBody"/>
        <w:bidi w:val="0"/>
        <w:jc w:val="left"/>
        <w:rPr/>
      </w:pPr>
      <w:r>
        <w:rPr/>
        <w:t> </w:t>
      </w:r>
    </w:p>
    <w:tbl>
      <w:tblPr>
        <w:tblW w:w="5822" w:type="dxa"/>
        <w:jc w:val="left"/>
        <w:tblInd w:w="0" w:type="dxa"/>
        <w:tblLayout w:type="fixed"/>
        <w:tblCellMar>
          <w:top w:w="28" w:type="dxa"/>
          <w:left w:w="28" w:type="dxa"/>
          <w:bottom w:w="28" w:type="dxa"/>
          <w:right w:w="28" w:type="dxa"/>
        </w:tblCellMar>
      </w:tblPr>
      <w:tblGrid>
        <w:gridCol w:w="2641"/>
        <w:gridCol w:w="146"/>
        <w:gridCol w:w="146"/>
        <w:gridCol w:w="931"/>
        <w:gridCol w:w="166"/>
        <w:gridCol w:w="146"/>
        <w:gridCol w:w="391"/>
        <w:gridCol w:w="1064"/>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total grant date fair value of RSU’s granted for the six months ended June 30, 2026 and 2025 was $3,069 and $8,906, respectively. Restricted stock units vest over the service period of one to four years. The aggregate intrinsic value of restricted stock units vested for the six months ended June 30, 2026 and 2025 was $3,010 and $3,476, respectively.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Restricted Stock Units with a Performance or Market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for the restricted stock units with a performance or market condition is as follows:</w:t>
      </w:r>
    </w:p>
    <w:p>
      <w:pPr>
        <w:pStyle w:val="TextBody"/>
        <w:bidi w:val="0"/>
        <w:spacing w:before="40" w:after="283"/>
        <w:jc w:val="left"/>
        <w:rPr/>
      </w:pPr>
      <w:r>
        <w:rPr/>
        <w:t> </w:t>
      </w:r>
    </w:p>
    <w:tbl>
      <w:tblPr>
        <w:tblW w:w="5672" w:type="dxa"/>
        <w:jc w:val="left"/>
        <w:tblInd w:w="0" w:type="dxa"/>
        <w:tblLayout w:type="fixed"/>
        <w:tblCellMar>
          <w:top w:w="28" w:type="dxa"/>
          <w:left w:w="28" w:type="dxa"/>
          <w:bottom w:w="28" w:type="dxa"/>
          <w:right w:w="28" w:type="dxa"/>
        </w:tblCellMar>
      </w:tblPr>
      <w:tblGrid>
        <w:gridCol w:w="2641"/>
        <w:gridCol w:w="146"/>
        <w:gridCol w:w="146"/>
        <w:gridCol w:w="781"/>
        <w:gridCol w:w="166"/>
        <w:gridCol w:w="146"/>
        <w:gridCol w:w="391"/>
        <w:gridCol w:w="1064"/>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performance-based or market condition share awards granted during the six months ended June 30, 2026 and 2025. </w:t>
      </w:r>
    </w:p>
    <w:p>
      <w:pPr>
        <w:pStyle w:val="TextBody"/>
        <w:bidi w:val="0"/>
        <w:spacing w:before="360" w:after="283"/>
        <w:jc w:val="left"/>
        <w:rPr>
          <w:rFonts w:ascii="Times New Roman" w:hAnsi="Times New Roman"/>
          <w:sz w:val="20"/>
        </w:rPr>
      </w:pPr>
      <w:r>
        <w:rPr>
          <w:rFonts w:ascii="Times New Roman" w:hAnsi="Times New Roman"/>
          <w:b/>
          <w:i/>
          <w:color w:val="000000"/>
          <w:sz w:val="20"/>
        </w:rPr>
        <w:t>2020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the Company issued 77,083 shares under the ESPP. During the six months ended June 30, 2026, the Company issued 61,939 shares under the ESPP. As of June 30, 2026, 338,291 shares remained available for issuance. </w:t>
      </w:r>
    </w:p>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expense, related to all of the Company's stock-based awards, was classified in the condensed consolidated statements of operations and comprehensive loss as follows: </w:t>
      </w:r>
    </w:p>
    <w:p>
      <w:pPr>
        <w:pStyle w:val="TextBody"/>
        <w:bidi w:val="0"/>
        <w:jc w:val="left"/>
        <w:rPr/>
      </w:pPr>
      <w:r>
        <w:rPr/>
        <w:t> </w:t>
      </w:r>
    </w:p>
    <w:tbl>
      <w:tblPr>
        <w:tblW w:w="7272" w:type="dxa"/>
        <w:jc w:val="left"/>
        <w:tblInd w:w="0" w:type="dxa"/>
        <w:tblLayout w:type="fixed"/>
        <w:tblCellMar>
          <w:top w:w="28" w:type="dxa"/>
          <w:left w:w="28" w:type="dxa"/>
          <w:bottom w:w="28" w:type="dxa"/>
          <w:right w:w="28" w:type="dxa"/>
        </w:tblCellMar>
      </w:tblPr>
      <w:tblGrid>
        <w:gridCol w:w="2311"/>
        <w:gridCol w:w="146"/>
        <w:gridCol w:w="257"/>
        <w:gridCol w:w="697"/>
        <w:gridCol w:w="178"/>
        <w:gridCol w:w="178"/>
        <w:gridCol w:w="257"/>
        <w:gridCol w:w="697"/>
        <w:gridCol w:w="146"/>
        <w:gridCol w:w="146"/>
        <w:gridCol w:w="222"/>
        <w:gridCol w:w="603"/>
        <w:gridCol w:w="154"/>
        <w:gridCol w:w="154"/>
        <w:gridCol w:w="222"/>
        <w:gridCol w:w="713"/>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June 30, 2026, the unrecognized stock-based compensation expense related to unvested common stock-based awards was $9,773, which is expected to be recognized over a weighted-average period of 1.6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arrangements generally include certain provisions for indemnifying clients against third-party claims asserting infringement of certain intellectual property rights in the ordinary course of business. The Company also regularly indemnifies clients against third-party claims that the company’s products or services breach applicable law or regulation or from claims resulting from a breach of the business associate agreement in place with the client. In addition, the Company indemnifies its officers, directors and certain key employees while they are serving in good faith in their capacities. Through June 30, 2026 and December 31, 2025, there have been no claims under any indemnification provisions. </w:t>
      </w:r>
    </w:p>
    <w:p>
      <w:pPr>
        <w:pStyle w:val="TextBody"/>
        <w:bidi w:val="0"/>
        <w:jc w:val="left"/>
        <w:rPr>
          <w:rFonts w:ascii="Times New Roman" w:hAnsi="Times New Roman"/>
          <w:sz w:val="20"/>
        </w:rPr>
      </w:pPr>
      <w:r>
        <w:rPr>
          <w:rFonts w:ascii="Times New Roman" w:hAnsi="Times New Roman"/>
          <w:b/>
          <w:i/>
          <w:color w:val="000000"/>
          <w:sz w:val="20"/>
        </w:rPr>
        <w:t>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and in the ordinary course of business, the Company may be subject to various claims, charges, and litigation. As of June 30, 2026 and December 31, 2025, the Company did not have any pending claims, charges or litigation that it expects would have a material adverse effect on its consolidated financial position, results of operations or cash flows. We have $8,510 of legal exposure accrued related to potential settlements and legal costs, of which $5,200 relates to one specific case.</w:t>
      </w:r>
    </w:p>
    <w:p>
      <w:pPr>
        <w:pStyle w:val="TextBody"/>
        <w:bidi w:val="0"/>
        <w:spacing w:before="360" w:after="283"/>
        <w:jc w:val="left"/>
        <w:rPr>
          <w:rFonts w:ascii="Times New Roman" w:hAnsi="Times New Roman"/>
          <w:sz w:val="20"/>
        </w:rPr>
      </w:pPr>
      <w:r>
        <w:rPr>
          <w:rFonts w:ascii="Times New Roman" w:hAnsi="Times New Roman"/>
          <w:b/>
          <w:color w:val="000000"/>
          <w:sz w:val="20"/>
        </w:rPr>
        <w:t>11.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Company’s history of net operating losses (“NOL”), the Company continues to maintain a full valuation allowance against its domestic net deferred tax assets. For the three and six months ended June 30, 2026, the Company recognized an income tax benefit of $548 and $331, primarily due to federal, state and foreign income taxes. During the three and six months ended June 30, 2025, the Company recognized an income tax benefit of $725 and $157, primarily due to federal, state and foreign income taxes.</w:t>
      </w:r>
    </w:p>
    <w:p>
      <w:pPr>
        <w:pStyle w:val="TextBody"/>
        <w:bidi w:val="0"/>
        <w:spacing w:before="360" w:after="283"/>
        <w:jc w:val="left"/>
        <w:rPr>
          <w:rFonts w:ascii="Times New Roman" w:hAnsi="Times New Roman"/>
          <w:sz w:val="20"/>
        </w:rPr>
      </w:pPr>
      <w:r>
        <w:rPr>
          <w:rFonts w:ascii="Times New Roman" w:hAnsi="Times New Roman"/>
          <w:b/>
          <w:color w:val="000000"/>
          <w:sz w:val="20"/>
        </w:rPr>
        <w:t>12. Related-Party Transactions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Cleveland Clinic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Cleveland Clinic is a related party because a member of the Company’s board of directors is an executive advisor to Cleveland Clinic. As of June 30, 2026 and December 31, 2025, the Company held current deferred revenue of $20 and $113, respectively from contracts with this client. As of June 30, 2026 and December 31, 2025, amounts due from Cleveland Clinic were $30 and $441,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2026 and 2025, the Company recognized revenue of $44 and $67, respectively, from contracts with this client. During the six months ended June 30, 2026 and 2025, the Company recognized revenue of $293 and $129, respectively, from contracts with this client.</w:t>
      </w:r>
    </w:p>
    <w:p>
      <w:pPr>
        <w:pStyle w:val="TextBody"/>
        <w:bidi w:val="0"/>
        <w:spacing w:before="360" w:after="283"/>
        <w:jc w:val="left"/>
        <w:rPr>
          <w:rFonts w:ascii="Times New Roman" w:hAnsi="Times New Roman"/>
          <w:sz w:val="20"/>
        </w:rPr>
      </w:pPr>
      <w:r>
        <w:rPr>
          <w:rFonts w:ascii="Times New Roman" w:hAnsi="Times New Roman"/>
          <w:b/>
          <w:color w:val="000000"/>
          <w:sz w:val="20"/>
        </w:rPr>
        <w:t>CCAW, JV LLC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CCAW, JV LLC is a related party because it is a joint venture formed between the Company and Cleveland Clinic for which the Company has a minority owned interest in. During 2025, the companies determined that these care services could be provided through partnering between the two entities and that the joint venture was no longer necessary to achieve care delivery. During the year ended December 31, 2025, the companies entered into an agreement for the complete liquidation and dissolution of the joint venture. As part of this agreement the Company will continue to support virtual second opinion services that were previously provided by CCAW, JV LLC, though our existing relationship with Cleveland Clinic. Certain business activities will continue through the transition period which will conclude in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and 2025, the Company made no capital contributions.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held no current deferred revenue, from contracts with this client. As of June 30, 2026 and December 31, 2025, there was no amount and $514 due from CCAW, JV LLC,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June 30, 2026 and 2025, the Company recognized approximately no revenue and $766 from contracts with this client, respectively. During the six months ended June 30, 2026 and 2025, the Company recognized revenue of $321 and $1,136, respectively, from contracts with this client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13.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net loss per share attributable to common stockholders was calculated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American Well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16,761,044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15,892,970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16,675,831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15,783,281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potential dilutive securities, which include stock options, unvested restricted stock units and unvested performance market-based stock units, have been excluded from the computation of diluted net loss per share as the effect would be anti-dilutive. Therefore, the weighted-average number of common shares outstanding used to calculate both basic and diluted net loss per share attributable to common stockholders is the same. The Company excluded the following potential common shares equivalents presented based on amounts outstanding at each period end, from the computation of diluted net loss per share attributable to common stockholders for the periods indicated because including them would have had an anti-dilutive effect: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991"/>
        <w:gridCol w:w="146"/>
        <w:gridCol w:w="146"/>
        <w:gridCol w:w="931"/>
        <w:gridCol w:w="146"/>
        <w:gridCol w:w="146"/>
        <w:gridCol w:w="146"/>
        <w:gridCol w:w="931"/>
        <w:gridCol w:w="146"/>
        <w:gridCol w:w="146"/>
        <w:gridCol w:w="146"/>
        <w:gridCol w:w="931"/>
        <w:gridCol w:w="146"/>
        <w:gridCol w:w="146"/>
        <w:gridCol w:w="146"/>
        <w:gridCol w:w="931"/>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1,545,733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performance market-based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1,622,560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1,994,792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1,622,560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1,994,792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14. Severance and strategic transformation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executed a series of individual actions, referred to as strategic transformation actions. Strategic transformation costs include one-time employee termination benefits, strategic transformation consulting expenses, as well as other incremental costs resulting from these actions. Employee termination benefits are recorded in accordance with standard Company policy. Charges are recorded when such actions are approved, communicated, and/or implemented. Amounts remaining to be paid for any strategic transformation costs are $3,597 and included in accrued expenses and operating lease liability on the condensed consolidated balance sheet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three months ended June 30, 2026 and 2025, the Company recorded charges of $(643) and $2,541, respectively, in connection with individual strategic transformation actions. For the three months ended June 30, 2026 and 2025, these charges consist of $8 and $601 recorded as cost of sales, $57 and $99 recorded as research and development expense, $(15) and $1,022 as sales and marketing expense, and $(693) and $819 as general and administrative expenses, respectively. In the six months ended June 30, 2026 and 2025, the Company recorded charges of $3,834 and $6,006, respectively, in connection with individual strategic transformation actions. For the six months ended June 30, 2026 and 2025, these charges consist of $1,179 and $887 recorded as cost of sales, $1,478 and $1,923 recorded as research and development expenses, $881 and $1,325 as sales and marketing expense, and $296 and $1,871 as general and administrative expenses,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1"/>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bookmarkStart w:id="10" w:name="item_2_managements_discussion_analysis_f"/>
      <w:bookmarkEnd w:id="10"/>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All statements contained in this Quarterly Report on Form 10-Q other than statements of historical fact, including statements regarding our future results of operations, including descriptions of our business plan and strategies, are forward-looking statements. These statements often include words such as “anticipate,” “expect,” “suggests,” “plan,” “believe,” “intend,” “estimates,” “targets,” “projects,” “should,” “could,” “would,” “may,” “will,” “forecast,” or the negative of these terms, and other similar expressions, although not all forward-looking statements contain these words.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Important factors that may materially affect such forward-looking statements and projections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weak growth and increased volatility in the digital care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history of losses and the risk we may not achieve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adapt to rapid technological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number of significant clients and the risk that we may lose their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competition from existing and potential new participants in the healthcare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healthcare laws, regulations or trends and our ability to operate in the heavily regulated healthcare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regulations concerning personally identifiable information and personal health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slower than expected growth in patient adoption of digital care and in platform usage by either clients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grow our base of affiliated and non-affiliated providers sufficient to serve patient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federal and state privacy regulations and the significant liability that could result from a cybersecurity breach or our failure to comply with such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commence and complete any strategic transformation initiatives and the impact of such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strategic relationships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seasonal viruses on our business or on our ability to forecast our business’s financial outlook;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the insurance we maintain may not fully cover all potential exposures;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continuation of the Defense Health Agency relationship beyond the third quarter of 2026 with comparable financial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list of factors is not exhaustive and does not necessarily include all of the important factors that could cause actual results to differ materially from those expressed in any of our forward-looking statements. The information in this Quarterly Report should be read carefully in conjunction with other uncertainties and potential events described in our Form 10-K filed with the SEC on February 12,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forward-looking statements included in this Quarterly Report on Form 10-Q are made only as of the date of this Quarterly Report. Except as required by law or regulation, we do not undertake any obligation to update any forward-looking statements to reflect subsequent events or circumstances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Amwell is a leading enterprise platform and software company digitally enabling hybrid care. We empower health providers, payers, and innovators to achieve their digital ambitions, enabling a coordinated experience across in-person, virtual and automated care. We provide our clients with the core technology and services necessary to successfully develop and distribute digital care programs that meet their strategic, operational, financial and clinical objectives under their own brands. We offer our clients products to help weave digital care across all care settings. We bring technology and services that facilitate new models of care, strategic partnerships, consistent execution and better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Founded in 2006, Amwell pioneered virtual healthcare. Today, Amwell extends digital care beyond telehealth, enabling care across in-person, virtual and automated modalities and providing an open, scalable platform that can flex and grow alongside our clients. We bring technology and services that facilitate new models of care, strategic partnerships, consistent execution and better outcomes. Together with our clients and innovation partners, we forge a new hybrid model of care delivery that adapts as needs evolve and makes care more accessible for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powered the digital care programs of approximately 50 health plans, which collectively represent more than 90 million covered lives, as well as approximately 80 of the nation’s largest health systems. Since inception, we have powered approximately 39.5 million virtual care visits for our clients, including approximately 1.9 million in the six months ended June 30, 2026.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Amwell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enterprise platform and software as a service solutions (“Amwell Platform”) was designed to be future-ready, reliable, flexible, scalable, secure and integrated with other healthcare software systems. The Amwell Platform offers state-of-the-art data architecture and video capabilities, flexibility and scalability, as well as a user experience focused on the needs of patients, members and providers. It has been designed from the ground up with the holistic understanding that the future of care of any one person will inevitably blend a mix of in-person, virtual and automated care experiences. The telehealth of yesterday has grown to encompass hybrid care delivery models and the flow of data that drives healthcare.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Amwell Platform delivers the digital capabilities that health systems and health plans care about — for example, virtual primary care, post-discharge follow-up, chronic condition management, virtual nursing — and aligns them into a single digital care operating system that aggregates all of the data from these care experiences to provide real-time insight. By providing a single platform for the digital distribution of care, the Amwell Platform accelerates innovation and interoperability for health system and health plan clients as well as other healthcare innovators who aim to offer a seamless experience for providers, patients and members.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Amwell Platform, is our go-forward strategy to digitally enable a scalable healthcare experience across all care settings. The development of the platform provides our customer base with an improved and more robust healthcare solution that is designed to connect seamlessly with clients' existing investments as well as Amwell-owned and partner programs. </w:t>
      </w:r>
    </w:p>
    <w:p>
      <w:pPr>
        <w:pStyle w:val="TextBody"/>
        <w:bidi w:val="0"/>
        <w:spacing w:before="360" w:after="283"/>
        <w:jc w:val="left"/>
        <w:rPr>
          <w:rFonts w:ascii="Times New Roman" w:hAnsi="Times New Roman"/>
          <w:sz w:val="20"/>
        </w:rPr>
      </w:pPr>
      <w:r>
        <w:rPr>
          <w:rFonts w:ascii="Times New Roman" w:hAnsi="Times New Roman"/>
          <w:b/>
          <w:color w:val="000000"/>
          <w:sz w:val="20"/>
        </w:rPr>
        <w:t>Our Business Model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sell the Amwell Platform on a subscription basis, which with our modular platform architecture allows our clients to introduce innovative digital care use cases over time, expanding our subscription revenue opportunity. To support the Amwell Platform, we offer professional services on a fee-for-service basis and a range of patient and provider Carepoint devices and software that support hospital and home use cases and access to AMG, our affiliated medical group that provides clinical services on a fee-for-service basis. The combination of the Amwell Platform, professional services and Carepoint hardware allows our clients to deploy digital care solutions across their full enterprise, deepening their relationships with existing and new patients and members through improved care access and coordination, cost and quality. Our contracts are typically three years in length but may be longer for our largest strategic client partners.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subscription fees received were $25.7 million and $40.4 million for the three months ended June 30, 2026 and 2025, respectively, and $50.6 million and $72.7 million for the six months ended June 30, 2026 and 2025,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Health Systems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For health systems, the Amwell Platform enables provider-to-provider virtual care for use cases ranging from stroke to virtual nursing and e-sitting. Our suite of Carepoint devices can enhance in-person care, whether the clients want to turn existing equipment such as televisions or iPads into digital access points or use Amwell Carepoint</w:t>
      </w:r>
      <w:r>
        <w:rPr>
          <w:rFonts w:ascii="Times New Roman" w:hAnsi="Times New Roman"/>
          <w:color w:val="000000"/>
          <w:sz w:val="13"/>
        </w:rPr>
        <w:t>TM</w:t>
      </w:r>
      <w:r>
        <w:rPr>
          <w:rFonts w:ascii="Times New Roman" w:hAnsi="Times New Roman"/>
          <w:color w:val="000000"/>
          <w:sz w:val="20"/>
        </w:rPr>
        <w:t xml:space="preserve"> carts and peripherals. The Amwell Platform also helps extend care outside the care setting by enabling both on-demand and scheduled provider-to-patient care for a range of use cases.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includes, but is not limited to, urgent care, primary care, behavioral health, chronic disease management, and specialty follow-up care. To augment in-person and virtual care, our automated care programs and digital mental health services help clinicians and health plans engage patients, members, and consumers before, after, or in-between visits to improve care plan adherence and prevent costly escalations.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supplement a health system’s own network of healthcare providers, health systems often choose to purchase clinical services from AMG to deliver care for certain specialties such as behavioral health therapy and general urgent care, or to simply operate as backup providers on nights and weekends. AMG services are provided on a fee-for-service basis. </w:t>
      </w:r>
    </w:p>
    <w:p>
      <w:pPr>
        <w:pStyle w:val="TextBody"/>
        <w:bidi w:val="0"/>
        <w:spacing w:before="360" w:after="283"/>
        <w:jc w:val="left"/>
        <w:rPr>
          <w:rFonts w:ascii="Times New Roman" w:hAnsi="Times New Roman"/>
          <w:sz w:val="20"/>
        </w:rPr>
      </w:pPr>
      <w:r>
        <w:rPr>
          <w:rFonts w:ascii="Times New Roman" w:hAnsi="Times New Roman"/>
          <w:b/>
          <w:i/>
          <w:color w:val="000000"/>
          <w:sz w:val="20"/>
        </w:rPr>
        <w:t>Health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health plans, employers and government entities, the Amwell Platform enables a member-centric hybrid care experience, seamlessly connecting with current technology investments and offering an open architecture that allows simple integration of future innovation. The Amwell Platform enables a broad set of use cases, including primary, urgent, mental health, specialty, and chronic care. Our virtual primary care solution offers a primary care navigation hub that supports a whole-person, longitudinal care experience for members, integrating virtual visits with digital behavioral health tools and condition-specific automated care programs, with escalation back to virtual and/or in person care, if needed. Our urgent care solution helps members conveniently and effectively address unplanned care needs without visiting the emergency department or local urgent care facility, driving quality outcomes at a lower cost.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typical health plan contract includes a recurring subscription fee based on the number of members who have access to the Amwell Platform plus additional subscription fees associated with add-on programs that extend from urgent care services to longitudinal care. As the health plan expands its offerings on the Amwell Platform through additional programs or additional covered lives, there is a corresponding increase in subscription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health plan clients also purchase clinical services that leverage our AMG network. These visit consultations are charged on a fee-for-service basis and range in price based on the type of consultation and the specialty of the provider.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 Healthcare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offer new tailored healthcare solutions for government clients that provide efficient and accessible care options to meet the diverse needs of government healthcare systems, personnel and their families.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Amwell Platform enables government healthcare providers to extend care beyond traditional settings, reaching personnel wherever they are stationed. With both on-demand and scheduled care options, we support a wide range of healthcare needs, including urgent care, primary care, behavioral health, chronic disease management, and specialty consultations.</w:t>
      </w:r>
    </w:p>
    <w:p>
      <w:pPr>
        <w:pStyle w:val="TextBody"/>
        <w:bidi w:val="0"/>
        <w:spacing w:before="360" w:after="283"/>
        <w:jc w:val="left"/>
        <w:rPr>
          <w:rFonts w:ascii="Times New Roman" w:hAnsi="Times New Roman"/>
          <w:sz w:val="20"/>
        </w:rPr>
      </w:pPr>
      <w:r>
        <w:rPr>
          <w:rFonts w:ascii="Times New Roman" w:hAnsi="Times New Roman"/>
          <w:b/>
          <w:i/>
          <w:color w:val="000000"/>
          <w:sz w:val="20"/>
        </w:rPr>
        <w:t>Visits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Amwell’s clinical affiliate AMG has built a network of providers who are licensed and credentialed to deliver care on the Amwell Platform across the entire United States. This clinical network is designed and operated in a way that allows us to meet the aggregate visit demand requirements of our health plan and health system clients, spanning a broad mix of specialties, including Family Medicine, Lactation, Nutrition, Psychiatry, Therapy and Women's Health.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AMG earns fee-for-service revenue for each episode of care delivered on the Amwell Platform by its providers with fees varying by physician specialty or clinical program. These clinical fees vary significantly per consultation or case based on the specialty and may require an additional module subscription.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Fees received from AMG-related visits were $24.4 million and $22.8 million for the three months ended June 30, 2026 and 2025, respectively, and $53.3 million and $49.4 million for the six months ended June 30, 2026 and 2025,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Services &amp; Carepoint Devices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offer a full suite of paid, supporting services to our clients to enable their virtual care offerings, including professional services to facilitate virtual care implementation, workflow design, systems integration and service expansion. To help our clients promote adoption and utilization, we offer patient and provider engagement services through our internal digital engagement agency. </w:t>
      </w:r>
    </w:p>
    <w:p>
      <w:pPr>
        <w:pStyle w:val="TextBody"/>
        <w:bidi w:val="0"/>
        <w:spacing w:before="120" w:after="283"/>
        <w:jc w:val="left"/>
        <w:rPr>
          <w:rFonts w:ascii="Times New Roman" w:hAnsi="Times New Roman"/>
          <w:sz w:val="20"/>
        </w:rPr>
      </w:pPr>
      <w:r>
        <w:rPr>
          <w:rFonts w:ascii="Times New Roman" w:hAnsi="Times New Roman"/>
          <w:color w:val="000000"/>
          <w:sz w:val="20"/>
        </w:rPr>
        <w:t>Amwell Carepoint</w:t>
      </w:r>
      <w:r>
        <w:rPr>
          <w:rFonts w:ascii="Times New Roman" w:hAnsi="Times New Roman"/>
          <w:color w:val="000000"/>
          <w:sz w:val="13"/>
        </w:rPr>
        <w:t>TM</w:t>
      </w:r>
      <w:r>
        <w:rPr>
          <w:rFonts w:ascii="Times New Roman" w:hAnsi="Times New Roman"/>
          <w:color w:val="000000"/>
          <w:sz w:val="20"/>
        </w:rPr>
        <w:t xml:space="preserve"> devices enable healthcare providers to leverage proprietary carts and transform existing tablets and TVs into digital access points in clinical settings, helping to address personnel shortages and access limitations. Our proprietary Carepoint devices coupled with our Carepoint Calling technology enables providers to deliver digital care into clinical locations, such as the emergency department, community hospitals, clinics, and hospital-at-home as well as into community settings such as retail stores,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employer sites, skilled nursing facilities, correctional facilities, and schools. Our Virtual Nursing and patient monitoring (eSitter) offerings leverage these Carepoint devices to augment on-site nurse teams with virtual staff, and leverage technology to increase patient safety and nurse efficiencies. These devices are built to rigorous safety and clinical standards and have advanced features including far-end camera controls, fleet monitoring and connectivity to a variety of peripherals, including diagnostic scopes and heart, lungs, stomach, and ear examination tools. Our Carepoint portfolio supports a range of uses, including multi-way video, phone connectivity and secure messaging to bring care teams to patients and members in the most efficient way possible.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Fees received from the provision of services and Carepoint devices were $1.9 million and $7.7 million for the three months ended June 30, 2026 and 2025, respectively, and $3.0 million and $15.7 million for the six months ended June 30, 2026 and 2025,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Key Metrics and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monitor the following key metrics to help us evaluate our business, identify trends affecting our business, formulate business plans and make strategic decisions. While these metrics present significant opportunities for us, they also represent the challenges that we must successfully address in order to grow our business and improve the results of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Digital Care Utilization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Digital and hybrid care utilization is a key driver of our business. A client’s overall utilization of its digital care platform provides an important measure of the value they derive and drives our business in three important ways. First, to the extent a client succeeds with its digital care program and sees good usage, they are more likely to renew and potentially expand their contract with us. Second, our health systems agreements typically include a certain number of visits conducted by their own providers annually and provide that as certain volume thresholds are exceeded, its annual license fees will rise to reflect this growing value. Third, to the extent that clients utilize provider services from AMG, Amwell derives revenue from clinical fees. We expect that our future revenues will be driven by the growing adoption of digital and hybrid care and our ability to maintain and grow market share within that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six months ended June 30, 2026, our clients completed a total of 1.9 million visits using the Amwell Platform, while in the six months ended June 30, 2025, 2.5 million visits were completed. AMG providers accounted for 37% and 27% of total visits performed using the Amwell Platform during the six months ended June 30, 2026 and 2025, respectively. Visits have declined in the current period due to lower urgent care and behavioral visits as a result of customer churn, combined with summer seasonality.</w:t>
      </w:r>
    </w:p>
    <w:p>
      <w:pPr>
        <w:pStyle w:val="TextBody"/>
        <w:bidi w:val="0"/>
        <w:jc w:val="left"/>
        <w:rPr/>
      </w:pPr>
      <w:r>
        <w:rPr/>
        <w:t> </w:t>
      </w:r>
    </w:p>
    <w:tbl>
      <w:tblPr>
        <w:tblW w:w="5930" w:type="dxa"/>
        <w:jc w:val="left"/>
        <w:tblInd w:w="0" w:type="dxa"/>
        <w:tblLayout w:type="fixed"/>
        <w:tblCellMar>
          <w:top w:w="28" w:type="dxa"/>
          <w:left w:w="28" w:type="dxa"/>
          <w:bottom w:w="28" w:type="dxa"/>
          <w:right w:w="28" w:type="dxa"/>
        </w:tblCellMar>
      </w:tblPr>
      <w:tblGrid>
        <w:gridCol w:w="1741"/>
        <w:gridCol w:w="146"/>
        <w:gridCol w:w="148"/>
        <w:gridCol w:w="947"/>
        <w:gridCol w:w="146"/>
        <w:gridCol w:w="146"/>
        <w:gridCol w:w="737"/>
        <w:gridCol w:w="1603"/>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61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Overall Quarterly Visits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Overall Visits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Performed by Client Providers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Regulatory Environment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are subject to comprehensive United States federal, state and local regulations as well as international regulation in the jurisdictions in which we do business. Our ability to operate profitably will depend in part upon our ability, and that of our affiliated providers, to maintain all necessary licenses and to operate in compliance with applicable laws and rules. During the COVID-19 pandemic, state and federal regulatory authorities loosened or removed a number of regulatory requirements in order to increase the availability of digital care services. For example, changes were made to the Medicare and Medicaid programs (through waivers and other regulatory authority) to increase access to digital care services by, among other things, increasing reimbursement, permitting the enrollment of out of state providers and eliminating prior authorization requirements. Most Medicare reimbursement flexibilities have been extended through December 31, 2027, including a waiver for geographic site restrictions (patient may be located at home), the expansion of eligible provider types, and coverage for audio-only consults.</w:t>
      </w:r>
    </w:p>
    <w:p>
      <w:pPr>
        <w:pStyle w:val="TextBody"/>
        <w:bidi w:val="0"/>
        <w:spacing w:before="360" w:after="283"/>
        <w:jc w:val="left"/>
        <w:rPr>
          <w:rFonts w:ascii="Times New Roman" w:hAnsi="Times New Roman"/>
          <w:sz w:val="20"/>
        </w:rPr>
      </w:pPr>
      <w:r>
        <w:rPr>
          <w:rFonts w:ascii="Times New Roman" w:hAnsi="Times New Roman"/>
          <w:b/>
          <w:i/>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Visit volumes typically follow the annual flu season, rising during quarter four and quarter one and falling in the summer months. While we sell to and implement our solutions to clients year-round, we experience some seasonality in terms of when we enter into agreements with our clients and when we launch our solutions to members.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our financial results determined in accordance with GAAP, we believe adjusted EBITDA,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calculate adjusted EBITDA as net loss adjusted to exclude (i) interest income and other income (expense), net, (ii) net gain on divestiture, (iii) income tax benefit and expense, (iv) depreciation and amortization, (v) stock-based compensation expense and (vi) severance and strategic transformation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a reconciliation of adjusted EBITDA from the most comparable GAAP measure, net loss, for the three and six months ended June 30, 2026 and 2025: </w:t>
      </w:r>
    </w:p>
    <w:p>
      <w:pPr>
        <w:pStyle w:val="TextBody"/>
        <w:bidi w:val="0"/>
        <w:jc w:val="left"/>
        <w:rPr/>
      </w:pPr>
      <w:r>
        <w:rPr/>
        <w:t> </w:t>
      </w:r>
    </w:p>
    <w:tbl>
      <w:tblPr>
        <w:tblW w:w="9129" w:type="dxa"/>
        <w:jc w:val="left"/>
        <w:tblInd w:w="0" w:type="dxa"/>
        <w:tblLayout w:type="fixed"/>
        <w:tblCellMar>
          <w:top w:w="28" w:type="dxa"/>
          <w:left w:w="28" w:type="dxa"/>
          <w:bottom w:w="28" w:type="dxa"/>
          <w:right w:w="28" w:type="dxa"/>
        </w:tblCellMar>
      </w:tblPr>
      <w:tblGrid>
        <w:gridCol w:w="3991"/>
        <w:gridCol w:w="146"/>
        <w:gridCol w:w="227"/>
        <w:gridCol w:w="680"/>
        <w:gridCol w:w="179"/>
        <w:gridCol w:w="157"/>
        <w:gridCol w:w="227"/>
        <w:gridCol w:w="793"/>
        <w:gridCol w:w="166"/>
        <w:gridCol w:w="146"/>
        <w:gridCol w:w="211"/>
        <w:gridCol w:w="736"/>
        <w:gridCol w:w="166"/>
        <w:gridCol w:w="146"/>
        <w:gridCol w:w="211"/>
        <w:gridCol w:w="736"/>
        <w:gridCol w:w="2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and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gain on divestiture</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Severance and strategic transformation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Severance and strategic transformation costs include expenses associated with the termination of employees and expenses (including abandonment of our corporate headquarters) that focus on transforming the strategy of the Company’s sales and growth organization as well as our overall cost structure during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gain on divestiture is related to the gain recognized on the sale of our APC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Severance and strategic transformation costs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the three months ended June 30, 2026 and 2025, the Company recorded charges of $(0.6) million and $2.5 million, respectively, in connection with severance and strategic transformation costs. In the six months ended June 30, 2026 and 2025, the Company recorded charges of $3.8 million and $6.0 million, respectively, in connection with severance and strategic transformation costs. The Company has executed a series of individual actions designed to maintain or improve our operating results and profitability. The Company continues to evaluate potential actions and may incur additional strategic transformation costs in future periods.</w:t>
      </w:r>
    </w:p>
    <w:p>
      <w:pPr>
        <w:pStyle w:val="TextBody"/>
        <w:bidi w:val="0"/>
        <w:jc w:val="left"/>
        <w:rPr>
          <w:rFonts w:ascii="Times New Roman" w:hAnsi="Times New Roman"/>
          <w:color w:val="000000"/>
          <w:sz w:val="20"/>
        </w:rPr>
      </w:pPr>
      <w:r>
        <w:rPr>
          <w:rFonts w:ascii="Times New Roman" w:hAnsi="Times New Roman"/>
          <w:color w:val="000000"/>
          <w:sz w:val="20"/>
        </w:rPr>
        <w:t>Our strategic transformation actions include headcount reductions, lease abandonment impairments and other related transitional amounts to maintain our competitive footprint. With the lease abandonment of our corporate headquarters we recognized $3.4 million in accelerated right of use asset amortization in the period. Strategic transformation actions are generally funded within twelve months of initiation and are funded by cash flows from operating activities and existing cash balances. We may incur additional strategic transformation costs in order to align our recurring cost structure with our current revenue profile. The timing and amount of the incurrence of such future strategic transformation costs are dependent on market conditions, customer actions and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information, see Note 14, "Severance and strategic transformation costs," to the condensed consolidated financial statements included in this Report.</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Statement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demonstrated the strength of our revenue as a direct result of the increasing acceptance of digital care, our penetration of the market, and the successful launch of new and expanded products that enable broadened applications for care delivered virtually. Revenue performance is reflective of the strong foundation that has been built, focused around health plans, health systems, and our provider network.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from the use of the Amwell Platform in the form of recurring subscription fees for use, and related services and Carepoint sales. We also generate revenue from the performance of AMG patient visits. Subscription revenue is impacted by timing of revenue recognition. Services and Carepoint revenue depends on implementation timing.</w:t>
      </w:r>
    </w:p>
    <w:p>
      <w:pPr>
        <w:pStyle w:val="TextBody"/>
        <w:bidi w:val="0"/>
        <w:spacing w:before="360" w:after="283"/>
        <w:jc w:val="left"/>
        <w:rPr>
          <w:rFonts w:ascii="Times New Roman" w:hAnsi="Times New Roman"/>
          <w:sz w:val="20"/>
        </w:rPr>
      </w:pPr>
      <w:r>
        <w:rPr>
          <w:rFonts w:ascii="Times New Roman" w:hAnsi="Times New Roman"/>
          <w:b/>
          <w:i/>
          <w:color w:val="000000"/>
          <w:sz w:val="20"/>
        </w:rPr>
        <w:t>Cost of Revenues, Excluding Amortization of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primarily consist of hosting fees paid to our hosting providers, costs incurred in connection with our professional services, technical and hosting support, and costs for running our affiliated provider network operations team. These costs primarily include employee-related expenses (including salaries, bonuses, benefits, stock-based compensation and travel).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are primarily driven by the hosting and technical support required to service our clients and the size of our provider network. Our business model is designed to be scalable and to leverage fixed costs to generate higher revenues. While we currently expect increased investments to further enhance our offering, we also expect increased efficiencies and economies of scale. Our quarterly cost of revenues as a percentage of revenues is expected to fluctuate from period to period depending on the interplay of these aforementioned factors.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include personnel and related expenses for software and hardware engineering, information technology infrastructure, security and compliance and product development (inclusive of stock-based compensation for our research and development employees). Research and development expenses also include the periodic outsourcing of similar functions to third party specialists. We have made an effort to optimize our resourcing structure with a mix of nearshore and offshore employees and contractors, resulting in a more efficient cost structure. We continue to enhance the Amwell Platform through additional functionality. We believe increased spending in prior years was a temporary investment to accelerate development of a more scalable and economically beneficial solution that will properly position the Company to benefit in the long term and have seen decline during the year as we return to normal levels of spend in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may fluctuate as a percentage of our total revenue from period to period due to the seasonality of our total revenue and the timing and extent of our research and development expenses based on customer demand and emerging market trends.</w:t>
      </w:r>
    </w:p>
    <w:p>
      <w:pPr>
        <w:pStyle w:val="TextBody"/>
        <w:bidi w:val="0"/>
        <w:spacing w:before="360" w:after="283"/>
        <w:jc w:val="left"/>
        <w:rPr>
          <w:rFonts w:ascii="Times New Roman" w:hAnsi="Times New Roman"/>
          <w:sz w:val="20"/>
        </w:rPr>
      </w:pPr>
      <w:r>
        <w:rPr>
          <w:rFonts w:ascii="Times New Roman" w:hAnsi="Times New Roman"/>
          <w:b/>
          <w:i/>
          <w:color w:val="000000"/>
          <w:sz w:val="20"/>
        </w:rPr>
        <w:t>Sales and Marketing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expenses consist primarily of employee-related expenses, including salaries, benefits, commissions, travel and stock-based compensation costs for our employees engaged in commercial activities. We will continue to invest appropriately in sales expenses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look to grow with new prospects and expand the business of our existing clients. We will continue to elevate the skills and impact of our sales personnel and related account management teams as we look to provide a differentiated and enhanced client experience to our growing client base as well as identifying new strategic market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Marketing costs consist primarily of personnel and related expenses (inclusive of stock-based compensation) for our marketing staff that primarily support the sales organization and client engagement. Marketing costs also include third-party independent research, digital marketing campaigns, participation in trade shows, brand messaging, public relations costs, and the costs of communication materials that are produced to generate awareness and utilization of the Amwell Platform among our clients and their users.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sales and marketing expense to remain consistent in future periods. Our sales and marketing expenses may fluctuate as a percentage of our total revenue from period to period due to the seasonality of our total revenue and the timing and extent of our advertising and marketing expenses.</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include personnel and related expenses, and professional fees incurred by finance, legal, human resources, information technology, our executives, and executive administration staff. They also include stock-based compensation for employees in these departments and expenses related to auditing, consulting, legal, and corporate insurance.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general and administrative expenses to remain relatively flat in future periods. Our general and administrative expenses may fluctuate as a percentage of our total revenue from period to period due to the timing and extent of our general and administrative expenses. </w:t>
      </w:r>
    </w:p>
    <w:p>
      <w:pPr>
        <w:pStyle w:val="TextBody"/>
        <w:bidi w:val="0"/>
        <w:spacing w:before="360" w:after="283"/>
        <w:jc w:val="left"/>
        <w:rPr>
          <w:rFonts w:ascii="Times New Roman" w:hAnsi="Times New Roman"/>
          <w:sz w:val="20"/>
        </w:rPr>
      </w:pPr>
      <w:r>
        <w:rPr>
          <w:rFonts w:ascii="Times New Roman" w:hAnsi="Times New Roman"/>
          <w:b/>
          <w:i/>
          <w:color w:val="000000"/>
          <w:sz w:val="20"/>
        </w:rPr>
        <w:t>Depreciation and Amortization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and amortization expense includes the amortization of intangible assets and depreciation related to our fixed assets. Amortization of intangible assets consists of the amortization of acquisition-related intangible assets, which are customer relationships, technology and trade names, as well as the amortization of capitalized software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 and 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balance of interest income and other income (expense), net, consists predominantly of interest income on our money-market investments and foreign currency gains and losses. We did not incur material interest expenses in the period as there were no outstanding debts or notes payables.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Gain on divestiture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Aligned entered into an asset purchase agreement relating to the sale of all property and assets owned, leased or licensed by Aligned that are primarily used or held for use in connection with the APC Business. In connection with such purchase and sale, the buyer assumed specified contracts and the related accounts receivable and all accounts payable and accrued expenses of the APC Business, and Dr. Cynthia Horner transferred the ownership of Asana to a doctor affiliated with the buyer. We divested the APC Business as it was determined the offering no longer fit our goals around profitability and growth. Streamlining our service offerings will enable us to focus our resources on the Amwell Platform, strategic customers, and our path to profitability. The divestiture of APC did not represent a strategic shift that would have a major effect on the Company's consolidated results of operations, and therefore, its results of operations were not reported as discontinued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income tax expense is primarily due to state and foreign 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tax assets are reduced by a valuation allowance to the extent management believes it is not more likely than not to be realized. The ultimate realization of deferred tax assets is dependent upon the generation of future taxable income. Management makes estimates and judgments about future taxable income based on assumptions that are consistent with our plans and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Consolidated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our summarized condensed consolidated statement of operations data for the three and six months ended June 30, 2026 and 2025 and the dollar and percentage change between the respective periods: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03"/>
        <w:gridCol w:w="146"/>
        <w:gridCol w:w="181"/>
        <w:gridCol w:w="571"/>
        <w:gridCol w:w="151"/>
        <w:gridCol w:w="146"/>
        <w:gridCol w:w="181"/>
        <w:gridCol w:w="571"/>
        <w:gridCol w:w="151"/>
        <w:gridCol w:w="146"/>
        <w:gridCol w:w="181"/>
        <w:gridCol w:w="571"/>
        <w:gridCol w:w="151"/>
        <w:gridCol w:w="146"/>
        <w:gridCol w:w="146"/>
        <w:gridCol w:w="376"/>
        <w:gridCol w:w="233"/>
        <w:gridCol w:w="146"/>
        <w:gridCol w:w="181"/>
        <w:gridCol w:w="601"/>
        <w:gridCol w:w="151"/>
        <w:gridCol w:w="146"/>
        <w:gridCol w:w="181"/>
        <w:gridCol w:w="601"/>
        <w:gridCol w:w="151"/>
        <w:gridCol w:w="146"/>
        <w:gridCol w:w="181"/>
        <w:gridCol w:w="571"/>
        <w:gridCol w:w="151"/>
        <w:gridCol w:w="146"/>
        <w:gridCol w:w="146"/>
        <w:gridCol w:w="376"/>
        <w:gridCol w:w="479"/>
      </w:tblGrid>
      <w:tr>
        <w:trPr/>
        <w:tc>
          <w:tcPr>
            <w:tcW w:w="1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June 30,</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 June 30,</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52,048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106,931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137,731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Costs of revenue, excluding depreciation and</w:t>
              <w:br/>
              <w:t>   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62,717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40,339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44,347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Total 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61,604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91,277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133,911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188,521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(54,610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Interest income and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gain on divestiture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Loss before expense from income taxes and 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(36,544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16,287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8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 attributable to American Well</w:t>
              <w:br/>
              <w: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(19,696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subscription revenue decreased $14.8 million due to timing of revenue recognition with our strategic customers. Other revenue decreased $5.8 million primarily related to a decline of $3.0 million in professional services performed around the integration of our strategic customers and a decline in marketing revenue of $2.7 million. These decreases were offset by an increase in visit revenue of $1.6 million due to the visit mix being weighted more to special program visits, partially offset by fewer visits.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subscription revenue decreased $22.1 million due to timing of revenue recognition with our strategic customers. Other revenue decreased $12.7 million primarily related to a decline of $7.1 million in professional services performed around the integration of our strategic customers and a decline in marketing revenue of $5.1 million. These decreases were offset by an increase in visit revenue of $3.9 million due to the visit mix being weighted more to special program visits, partially offset by fewer visits.</w:t>
      </w:r>
    </w:p>
    <w:p>
      <w:pPr>
        <w:pStyle w:val="TextBody"/>
        <w:bidi w:val="0"/>
        <w:spacing w:before="360" w:after="283"/>
        <w:jc w:val="left"/>
        <w:rPr>
          <w:rFonts w:ascii="Times New Roman" w:hAnsi="Times New Roman"/>
          <w:sz w:val="20"/>
        </w:rPr>
      </w:pPr>
      <w:r>
        <w:rPr>
          <w:rFonts w:ascii="Times New Roman" w:hAnsi="Times New Roman"/>
          <w:b/>
          <w:i/>
          <w:color w:val="000000"/>
          <w:sz w:val="20"/>
        </w:rPr>
        <w:t>Costs of Revenue, Excluding Amortization of Acquired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the decrease in cost of revenue was primarily driven by a decrease in employee costs of $3.2 million due to a headcount reduction of 24% period over period. There was also a decrease in marketing services for customers of $3.3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the decrease in cost of revenue was primarily driven by a decrease in employee costs of $6.8 million due to a headcount reduction of 26% period over period. There was also a decrease in marketing services for customers of $5.0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there was a decrease in employee-related costs of $6.1 million (due to headcount reduction of 24% period over period and reduced stock compensation expense). There was also a decrease of $1.6 million in consulting spend due to cost savings measures put into place, as well as more software development costs meeting the capitalization criteria.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there was a decrease in employee-related costs of $14.1 million (due to headcount reduction of 27% period over period and reduced stock compensation expense). There was also a decrease of $3.7 million in consulting spend due to cost savings measures put into place, as well as more software development costs meeting the capitalization criteria.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Sales and Marketing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there was a decrease in employee-related costs of $5.1 million (due to headcount reduction of 52% period over period and reduced stock compensation expense), and due to cost savings measures put into place a decrease in third party software spend of $0.5 million and consulting spend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there was a decrease in employee-related costs of $9.5 million (due to headcount reduction of 51% period over period and reduced stock compensation expense), and due to cost savings measures put into place a decrease in conference and marketing spend of $0.8 million, third party software spend of $0.6 million and consulting spend of $0.6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the decrease in general and administrative expense was driven by a decrease in employee-related costs of $5.9 million. The employee related costs were driven primarily by the decrease in stock compensation expense as higher value historic awards had become fully expensed, as well as headcount reductions of 26% period over period. The decrease was also due to a decrease in legal spend during the period of $2.1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the decrease in general and administrative expense was driven by a decrease in employee-related costs of $15.2 million. The employee related costs were driven primarily by the decrease in stock compensation expense as higher value historic awards had become fully expensed, as well as headcount reductions of 29% period over period. The decrease was partially offset by an increase in bad debt related to historical visits of $1.7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Depreciation and Amortization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remained consistent for the three and six months ended June 30, 2026 and 2025. Amortization expense for the three and six months ended June 30, 2026 decreased $1.2 million and $1.4 million due to certain intangible assets being fully amortized.</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 and Other (Expense)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and six months ended June 30, 2026 and 2025, interest income and other (expense) income, net consist entirely of interest income and gains from our cash equivalents and short-term investments.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Gain on divestiture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gain of divesture relates to the gain from finalization of the contingent consideration related to the APC sale.</w:t>
      </w:r>
    </w:p>
    <w:p>
      <w:pPr>
        <w:pStyle w:val="TextBody"/>
        <w:bidi w:val="0"/>
        <w:spacing w:before="360" w:after="283"/>
        <w:jc w:val="left"/>
        <w:rPr>
          <w:rFonts w:ascii="Times New Roman" w:hAnsi="Times New Roman"/>
          <w:sz w:val="20"/>
        </w:rPr>
      </w:pPr>
      <w:r>
        <w:rPr>
          <w:rFonts w:ascii="Times New Roman" w:hAnsi="Times New Roman"/>
          <w:b/>
          <w:i/>
          <w:color w:val="000000"/>
          <w:sz w:val="20"/>
        </w:rPr>
        <w:t>Expense from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benefit was $0.5 million and $0.3 million for the three and six months ended June 30, 2026, compared to income tax benefit of $0.7 million and $0.2 million for the three and six months ended June 30, 2025. </w:t>
      </w:r>
    </w:p>
    <w:p>
      <w:pPr>
        <w:pStyle w:val="TextBody"/>
        <w:bidi w:val="0"/>
        <w:spacing w:before="360" w:after="283"/>
        <w:jc w:val="left"/>
        <w:rPr>
          <w:rFonts w:ascii="Times New Roman" w:hAnsi="Times New Roman"/>
          <w:sz w:val="20"/>
        </w:rPr>
      </w:pPr>
      <w:r>
        <w:rPr>
          <w:rFonts w:ascii="Times New Roman" w:hAnsi="Times New Roman"/>
          <w:b/>
          <w:i/>
          <w:color w:val="000000"/>
          <w:sz w:val="20"/>
        </w:rPr>
        <w:t>Loss from Equity Method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2019, the Company and Cleveland Clinic partnered to form a joint venture, under the name CCAW, JV LLC, to provide broad access to comprehensive and high acuity care services via virtual care. The Company does not have a controlling financial interest in CCAW, JV LLC, but it does have the ability to exercise significant influence over the operating and financial policies of CCAW, JV LLC. Therefore, the Company accounts for its investments in CCAW, JV LLC using the equity method of accounting.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2025, the companies determined that these care services could be provided through partnering between the two entities and that the joint venture was no longer necessary to achieve care delivery, as a result the companies entered into an agreement for the transfer of the VSO Business and complete liquidation and dissolution of the joint venture. Certain business activities will continue through the transition period which will conclude in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recognized no loss or income as its proportionate share of the joint venture as the investment was written down to zero. During the three and six months ended June 30, 2025, the Company recognized a loss of $0.7 million and $1.5 million, as its proportionate share of the joint venture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a summary of our cash flow activity for the periods set forth below: </w:t>
      </w:r>
    </w:p>
    <w:p>
      <w:pPr>
        <w:pStyle w:val="TextBody"/>
        <w:bidi w:val="0"/>
        <w:jc w:val="left"/>
        <w:rPr/>
      </w:pPr>
      <w:r>
        <w:rPr/>
        <w:t> </w:t>
      </w:r>
    </w:p>
    <w:tbl>
      <w:tblPr>
        <w:tblW w:w="6699" w:type="dxa"/>
        <w:jc w:val="left"/>
        <w:tblInd w:w="0" w:type="dxa"/>
        <w:tblLayout w:type="fixed"/>
        <w:tblCellMar>
          <w:top w:w="28" w:type="dxa"/>
          <w:left w:w="28" w:type="dxa"/>
          <w:bottom w:w="28" w:type="dxa"/>
          <w:right w:w="28" w:type="dxa"/>
        </w:tblCellMar>
      </w:tblPr>
      <w:tblGrid>
        <w:gridCol w:w="4216"/>
        <w:gridCol w:w="146"/>
        <w:gridCol w:w="211"/>
        <w:gridCol w:w="676"/>
        <w:gridCol w:w="146"/>
        <w:gridCol w:w="146"/>
        <w:gridCol w:w="211"/>
        <w:gridCol w:w="73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Statements of Cash Flows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sources of liquidity were cash and cash equivalents totaling $195.9 million and $182.3 million as of June 30, 2026 and December 31, 2025, respectively, which were held for a variety of growth initiatives and investments as well as working capital purposes. Our cash and cash equivalents are comprised of money market funds.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shown in the accompanying condensed consolidated financial statements, the Company incurred a loss from operations of $27.0 million and a net loss of $19.9 million for the six months ended June 30, 2026 and had an accumulated deficit of $2,082.4 million as of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no debt as of June 30, 2026 or December 31, 2025 and expects to generate operating losses in future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existing cash and cash equivalents will be sufficient to meet our working capital and capital expenditure needs for at least the next 12 months from the issuance date of the financial statements. Our future capital requirements will depend on many factors including our growth rate, contract renewal activity, number of consultations on the Amwell Platform, the timing and extent of spending to support product development efforts, our expansion of sales and marketing activities, the introduction of new and enhanced services offerings, and the continuing market acceptance of digital care services. We may in the future enter into arrangements to acquire or invest in complementary businesses, services and technologies and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financial condition and results of operations would be adversely affected.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Six months ended June 30, 2026, vs. Six months ended June 30, 2025</w:t>
      </w:r>
    </w:p>
    <w:p>
      <w:pPr>
        <w:pStyle w:val="TextBody"/>
        <w:bidi w:val="0"/>
        <w:spacing w:before="120" w:after="283"/>
        <w:jc w:val="left"/>
        <w:rPr>
          <w:rFonts w:ascii="Times New Roman" w:hAnsi="Times New Roman"/>
          <w:sz w:val="20"/>
        </w:rPr>
      </w:pPr>
      <w:r>
        <w:rPr>
          <w:rFonts w:ascii="Times New Roman" w:hAnsi="Times New Roman"/>
          <w:b/>
          <w:i/>
          <w:color w:val="000000"/>
          <w:sz w:val="20"/>
        </w:rPr>
        <w:t>Cash Provided by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operating activities was $9.7 million for the six months ended June 30, 2026. The primary driver of this was the increase in our accrued expense balance of $13.8 million offset by an increase in accounts receivable of $5.7 million. The cash provided by this was partially offset by the use of cash from our net loss of $19.9 million. The net loss was partially offset by non-cash expenses of $19.2 million (primarily depreciation and amortization of $14.6 million, stock-based compensation of $4.3 million and impairment of right of use asset of $3.4 million, offset by net gain on divestiture of $7.0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was $29.8 million for the six months ended June 30, 2025. The primary driver of this use of cash was our net loss of $37.9 million. The net loss was partially offset by non-cash expenses of $22.5 million (primarily stock-based compensation of $13.3 million and depreciation and amortization of $16.0 million, offset by net gain on divestiture of $10.7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Cash Provided by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provided by investing activities was $1.4 million for the six months ended June 30, 2026. Cash used in investing activities consisted of $7.0 million in proceeds from divestiture offset by $5.6 million of capitalized software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provided by investing activities was $19.4 million for the six months ended June 30, 2025. Cash provided by investing activities consisted of $20.4 million in proceeds from divestiture offset by $1.0 million minority investment in a strategic technology partner.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b/>
          <w:i/>
          <w:color w:val="000000"/>
          <w:sz w:val="20"/>
        </w:rPr>
        <w:t>Cash Provided by 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provided by financing activities for the six months ended June 30, 2026, was $0.3 million, consisting of proceeds from the employee stock purchase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provided by financing activities for the six months ended June 30, 2025, was $0.5 million, consisting of proceeds from the employee stock purchase plan.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 </w:t>
      </w:r>
    </w:p>
    <w:p>
      <w:pPr>
        <w:pStyle w:val="TextBody"/>
        <w:bidi w:val="0"/>
        <w:spacing w:before="36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there have been no material changes from the contractual obligations and commitments previously disclosed in our Form 10-K.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and the related notes thereto are prepared in accordance with GAAP. The preparation of condensed consolidated financial statements in conformity with GAAP requires management to make estimates and assumptions that affect the amounts reported in the condensed consolidated financial statements and accompanying notes. The Company bases its estimates on historical experience, current business factors, and various other assumptions that the Company believes are necessary to consider to form a basis for making judgments about the carrying values of assets and liabilities, the recorded amounts of revenue and expenses, and the disclosure of contingent assets and liabilities. The Company is subject to uncertainties such as the impact of future events, economic and political factors, and changes in the Company’s business environment; therefore, actual results could differ from these estimates. Accordingly, the accounting estimates used in the preparation of the Company’s condensed consolidated financial statements will change as new events occur, as more experience is acquired, as additional information is obtained, and as the Company’s operating environment evolves. For a discussion of our critical accounting estimates see Part II, Item 7, “Management’s Discussion and Analysis of Financial Condition and Results of Operations” in the 2025 Form 10-K. </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more information on recently issued accounting pronouncements, see Note 2 to our condensed consolidated financial statements covered under Part I, Item 1 of this Quarterly Report on Form 10-Q. </w:t>
      </w:r>
    </w:p>
    <w:p>
      <w:pPr>
        <w:pStyle w:val="TextBody"/>
        <w:bidi w:val="0"/>
        <w:spacing w:before="360" w:after="283"/>
        <w:jc w:val="left"/>
        <w:rPr>
          <w:rFonts w:ascii="Times New Roman" w:hAnsi="Times New Roman"/>
          <w:sz w:val="20"/>
        </w:rPr>
      </w:pPr>
      <w:r>
        <w:rPr>
          <w:rFonts w:ascii="Times New Roman" w:hAnsi="Times New Roman"/>
          <w:b/>
          <w:color w:val="000000"/>
          <w:sz w:val="20"/>
        </w:rPr>
        <w:t>New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more information on new accounting pronouncements not yet adopted, see Note 2 to our condensed consolidated financial statements covered under Part I, Item 1 in this Quarterly Report on Form 10-Q. </w:t>
      </w:r>
    </w:p>
    <w:p>
      <w:pPr>
        <w:pStyle w:val="TextBody"/>
        <w:bidi w:val="0"/>
        <w:spacing w:before="360" w:after="283"/>
        <w:jc w:val="left"/>
        <w:rPr>
          <w:rFonts w:ascii="Times New Roman" w:hAnsi="Times New Roman"/>
          <w:sz w:val="20"/>
        </w:rPr>
      </w:pPr>
      <w:bookmarkStart w:id="11" w:name="item_3_qualitative_quantitative_disclosu"/>
      <w:bookmarkEnd w:id="11"/>
      <w:r>
        <w:rPr>
          <w:rFonts w:ascii="Times New Roman" w:hAnsi="Times New Roman"/>
          <w:b/>
          <w:color w:val="000000"/>
          <w:sz w:val="20"/>
        </w:rPr>
        <w:t>Item 3. Qualitative and Quantitative Disclosure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cash and cash equivalents totaling $195.9 million, and $182.3 million as of June 30, 2026 and December 31, 2025, respectively. These amounts were primarily invested in money markets. The Company held no investments as of June 30, 2026 and December 31, 2025. The cash and cash equivalents are held for a variety of growth and investments as well as working capital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believe that an increase or decrease of 100 basis points in interest rates would have a material effect on our business, financial condition or results of operations. However, our cash equivalents are subject to market risk due to changes in interest rates. Fixed rate securities may have their market value adversely affected due to a rise in interest rates. Due in part to these factors, our future investment income may fall short of expectation due to changes in interest rates or we may suffer losses in principal if we are forced to sell securities that decline in market value due to changes in interest rates.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Fluctuations in the value of our money market funds caused by a change in interest rates (gains or losses on the carrying value) are recorded in other income and are realized only if we sell the underlying securities.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Exchange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a substantial majority of our revenue from client arrangements has been denominated in U.S. dollars. We have limited operations outside the United States. As of June 30, 2026 and December 31, 2025, the Company has foreign subsidiaries in Israel, Ireland, the United Kingdom and Australia, the functional currency of each subsidiary being the New Israeli Shekel, Euro, British pound and Australian dollar, respectively. The Company also has a branch with a functional currency of the New Israeli Shekel. The transactional activity for these entities in the six months ended June 30, 2026 and 2025 was not considered significant. Accordingly, we believe we do not have a material exposure to foreign currency risk. We may choose to focus on international expansion, which may increase our exposure to foreign currency exchange risk in the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believe that inflation had a material effect on our business, financial condition or results of operations in the last two years. If our costs were to become subject to significant inflationary pressures, we may not be able to fully offset such higher costs through price increases. Our inability or failure to do so could harm our business, financial condition or results of operations. </w:t>
      </w:r>
    </w:p>
    <w:p>
      <w:pPr>
        <w:pStyle w:val="TextBody"/>
        <w:bidi w:val="0"/>
        <w:spacing w:before="36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principal executive officers and principal financial officer, has evaluated the effectiveness of our disclosure controls and procedures (as defined in Rules 13a-15(e) and 15d-15(e) under the Securities Exchange Act of 1934, as amended, or the Exchange Act), as of the end of the period covered by this Quarterly Report on Form 10-Q. Based on this evaluation, our principal executive officers and principal financial officer concluded that as of June 30, 2026, our disclosure controls and procedures were effective. Disclosure controls and procedures are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officers and principal financial officer,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during the quarter ended June 30, 2026, that have materially affected, or are reasonably likely to materially affect, our internal control over financial reporting. </w:t>
      </w:r>
    </w:p>
    <w:p>
      <w:pPr>
        <w:pStyle w:val="TextBody"/>
        <w:bidi w:val="0"/>
        <w:spacing w:before="480" w:after="283"/>
        <w:jc w:val="left"/>
        <w:rPr>
          <w:rFonts w:ascii="Times New Roman" w:hAnsi="Times New Roman"/>
          <w:sz w:val="20"/>
        </w:rPr>
      </w:pPr>
      <w:bookmarkStart w:id="13" w:name="part_ii_o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legal proceedings arising in the ordinary course of our business. We are not presently a party to any legal proceedings that, in the opinion of our management, would individually or taken together have a material adverse effect on our business, financial condition, results of operations or cash flows. Regardless of outcome, litigation can have an adverse impact on us due to defense and settlement costs, diversion of management resources, negative publicity, reputational harm and other factors. </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the risk factors previously disclosed in our Form 10-K. For a discussion of potential risks and uncertainties related to our Company see the information in our Form 10-K in the section entitled “Risk Factors.” </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sales of unregistered equity securities during the quarter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information about the Company’s purchases of its common stock for each month during this quarterly period covered by this report: </w:t>
      </w:r>
    </w:p>
    <w:p>
      <w:pPr>
        <w:pStyle w:val="TextBody"/>
        <w:bidi w:val="0"/>
        <w:jc w:val="left"/>
        <w:rPr/>
      </w:pPr>
      <w:r>
        <w:rPr/>
        <w:t> </w:t>
      </w:r>
    </w:p>
    <w:tbl>
      <w:tblPr>
        <w:tblW w:w="7799" w:type="dxa"/>
        <w:jc w:val="left"/>
        <w:tblInd w:w="0" w:type="dxa"/>
        <w:tblLayout w:type="fixed"/>
        <w:tblCellMar>
          <w:top w:w="28" w:type="dxa"/>
          <w:left w:w="28" w:type="dxa"/>
          <w:bottom w:w="28" w:type="dxa"/>
          <w:right w:w="28" w:type="dxa"/>
        </w:tblCellMar>
      </w:tblPr>
      <w:tblGrid>
        <w:gridCol w:w="1621"/>
        <w:gridCol w:w="146"/>
        <w:gridCol w:w="275"/>
        <w:gridCol w:w="655"/>
        <w:gridCol w:w="146"/>
        <w:gridCol w:w="146"/>
        <w:gridCol w:w="388"/>
        <w:gridCol w:w="857"/>
        <w:gridCol w:w="146"/>
        <w:gridCol w:w="146"/>
        <w:gridCol w:w="434"/>
        <w:gridCol w:w="1036"/>
        <w:gridCol w:w="146"/>
        <w:gridCol w:w="146"/>
        <w:gridCol w:w="391"/>
        <w:gridCol w:w="929"/>
        <w:gridCol w:w="19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w:t>
              <w:br/>
              <w:t>number</w:t>
              <w:br/>
              <w:t>of shares</w:t>
              <w:br/>
              <w:t>(or units)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w:t>
              <w:br/>
              <w:t>price paid per</w:t>
              <w:br/>
              <w:t>share (or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 Total number</w:t>
              <w:br/>
              <w:t>of shares (or units)</w:t>
              <w:br/>
              <w:t>purchased as part</w:t>
              <w:br/>
              <w:t>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 Maximum</w:t>
              <w:br/>
              <w:t>number (or</w:t>
              <w:br/>
              <w:t>approximate</w:t>
              <w:br/>
              <w:t>dollar value)</w:t>
              <w:br/>
              <w:t>of shares (or</w:t>
              <w:br/>
              <w:t>units) that may</w:t>
              <w:br/>
              <w:t>yet be purchased</w:t>
              <w:br/>
              <w:t>under the plans</w:t>
              <w:br/>
              <w:t>or programs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to April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to May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to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Shares withheld to cover tax withholding obligations under the net settlement provision upon vesting of restricted stock units and exercising of options. </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Insider Trading Arrangements and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none of our officers or directors adopted or terminated any Rule 10b5-1 trading arrangement.</w:t>
      </w:r>
    </w:p>
    <w:p>
      <w:pPr>
        <w:pStyle w:val="TextBody"/>
        <w:bidi w:val="0"/>
        <w:jc w:val="left"/>
        <w:rPr/>
      </w:pPr>
      <w:r>
        <w:rPr/>
        <w:t> </w:t>
      </w:r>
    </w:p>
    <w:p>
      <w:pPr>
        <w:pStyle w:val="TextBody"/>
        <w:bidi w:val="0"/>
        <w:spacing w:before="360" w:after="283"/>
        <w:jc w:val="left"/>
        <w:rPr>
          <w:rFonts w:ascii="Times New Roman" w:hAnsi="Times New Roman"/>
          <w:sz w:val="20"/>
        </w:rPr>
      </w:pPr>
      <w:bookmarkStart w:id="20" w:name="item_6_exhibits"/>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documents listed below are incorporated by reference or are filed with this Quarterly Report on Form 10-Q, in each case as indicated therein (numbered in accordance with Item 601 of Regulation S-K).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mwl-ex10_1.htm">
              <w:r>
                <w:rPr>
                  <w:rStyle w:val="InternetLink"/>
                  <w:rFonts w:ascii="Times New Roman" w:hAnsi="Times New Roman"/>
                  <w:color w:val="0000FF"/>
                  <w:sz w:val="20"/>
                  <w:u w:val="single"/>
                </w:rPr>
                <w:t>Amended and Restated Non-Employee Director Compensation Policy</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mwl-ex31_1.htm">
              <w:r>
                <w:rPr>
                  <w:rStyle w:val="InternetLink"/>
                  <w:rFonts w:ascii="Times New Roman" w:hAnsi="Times New Roman"/>
                  <w:color w:val="0000FF"/>
                  <w:sz w:val="20"/>
                  <w:u w:val="single"/>
                </w:rPr>
                <w:t>Chief Executive Officer Certification</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mwl-ex31_2.htm">
              <w:r>
                <w:rPr>
                  <w:rStyle w:val="InternetLink"/>
                  <w:rFonts w:ascii="Times New Roman" w:hAnsi="Times New Roman"/>
                  <w:color w:val="0000FF"/>
                  <w:sz w:val="20"/>
                  <w:u w:val="single"/>
                </w:rPr>
                <w:t>Chief Financial Officer Certification</w:t>
              </w:r>
            </w:hyperlink>
            <w:hyperlink w:anchor="amwl-ex31_2.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mwl-ex32_1.htm">
              <w:r>
                <w:rPr>
                  <w:rStyle w:val="InternetLink"/>
                  <w:rFonts w:ascii="Times New Roman" w:hAnsi="Times New Roman"/>
                  <w:color w:val="0000FF"/>
                  <w:sz w:val="20"/>
                  <w:u w:val="single"/>
                </w:rPr>
                <w:t>CEO Certification of Quarterly Report</w:t>
              </w:r>
            </w:hyperlink>
            <w:hyperlink w:anchor="amwl-ex32_1.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mwl-ex32_2.htm">
              <w:r>
                <w:rPr>
                  <w:rStyle w:val="InternetLink"/>
                  <w:rFonts w:ascii="Times New Roman" w:hAnsi="Times New Roman"/>
                  <w:color w:val="0000FF"/>
                  <w:sz w:val="20"/>
                  <w:u w:val="single"/>
                </w:rPr>
                <w:t>CFO Certifications of Quarterly Report</w:t>
              </w:r>
            </w:hyperlink>
            <w:hyperlink w:anchor="amwl-ex32_2.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101.INS</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left"/>
        <w:rPr/>
      </w:pPr>
      <w:r>
        <w:rPr/>
        <w:t> </w:t>
      </w:r>
    </w:p>
    <w:tbl>
      <w:tblPr>
        <w:tblW w:w="1547" w:type="dxa"/>
        <w:jc w:val="left"/>
        <w:tblInd w:w="0" w:type="dxa"/>
        <w:tblLayout w:type="fixed"/>
        <w:tblCellMar>
          <w:top w:w="28" w:type="dxa"/>
          <w:left w:w="28" w:type="dxa"/>
          <w:bottom w:w="28" w:type="dxa"/>
          <w:right w:w="28" w:type="dxa"/>
        </w:tblCellMar>
      </w:tblPr>
      <w:tblGrid>
        <w:gridCol w:w="226"/>
        <w:gridCol w:w="1321"/>
      </w:tblGrid>
      <w:tr>
        <w:trPr/>
        <w:tc>
          <w:tcPr>
            <w:tcW w:w="22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bl>
    <w:p>
      <w:pPr>
        <w:pStyle w:val="TextBody"/>
        <w:bidi w:val="0"/>
        <w:jc w:val="left"/>
        <w:rPr/>
      </w:pPr>
      <w:r>
        <w:rPr/>
        <w:t> </w:t>
      </w:r>
    </w:p>
    <w:tbl>
      <w:tblPr>
        <w:tblW w:w="4832" w:type="dxa"/>
        <w:jc w:val="left"/>
        <w:tblInd w:w="0" w:type="dxa"/>
        <w:tblLayout w:type="fixed"/>
        <w:tblCellMar>
          <w:top w:w="28" w:type="dxa"/>
          <w:left w:w="28" w:type="dxa"/>
          <w:bottom w:w="28" w:type="dxa"/>
          <w:right w:w="28" w:type="dxa"/>
        </w:tblCellMar>
      </w:tblPr>
      <w:tblGrid>
        <w:gridCol w:w="226"/>
        <w:gridCol w:w="4606"/>
      </w:tblGrid>
      <w:tr>
        <w:trPr/>
        <w:tc>
          <w:tcPr>
            <w:tcW w:w="226" w:type="dxa"/>
            <w:tcBorders/>
            <w:vAlign w:val="center"/>
          </w:tcPr>
          <w:p>
            <w:pPr>
              <w:pStyle w:val="TableContents"/>
              <w:bidi w:val="0"/>
              <w:spacing w:before="0" w:after="283"/>
              <w:jc w:val="left"/>
              <w:rPr>
                <w:sz w:val="4"/>
                <w:szCs w:val="4"/>
              </w:rPr>
            </w:pPr>
            <w:r>
              <w:rPr>
                <w:sz w:val="4"/>
                <w:szCs w:val="4"/>
              </w:rPr>
            </w:r>
          </w:p>
        </w:tc>
        <w:tc>
          <w:tcPr>
            <w:tcW w:w="4606"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a management contract or compensatory plan</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signatures"/>
      <w:bookmarkEnd w:id="21"/>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525" w:type="dxa"/>
        <w:jc w:val="left"/>
        <w:tblInd w:w="0" w:type="dxa"/>
        <w:tblLayout w:type="fixed"/>
        <w:tblCellMar>
          <w:top w:w="28" w:type="dxa"/>
          <w:left w:w="28" w:type="dxa"/>
          <w:bottom w:w="28" w:type="dxa"/>
          <w:right w:w="28" w:type="dxa"/>
        </w:tblCellMar>
      </w:tblPr>
      <w:tblGrid>
        <w:gridCol w:w="556"/>
        <w:gridCol w:w="1396"/>
        <w:gridCol w:w="326"/>
        <w:gridCol w:w="646"/>
        <w:gridCol w:w="3601"/>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6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AMERICAN WELL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4, 2026</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3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Ido Schoenberg, MD </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August 4, 2026 </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Hirschhorn</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i/>
                <w:color w:val="000000"/>
                <w:sz w:val="20"/>
              </w:rPr>
            </w:pPr>
            <w:r>
              <w:rPr>
                <w:rFonts w:ascii="Times New Roman" w:hAnsi="Times New Roman"/>
                <w:i/>
                <w:color w:val="000000"/>
                <w:sz w:val="20"/>
              </w:rPr>
              <w:t>(Principal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August 4, 2026 </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By:</w:t>
            </w:r>
          </w:p>
        </w:tc>
        <w:tc>
          <w:tcPr>
            <w:tcW w:w="3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Paul McNeice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Accounting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60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i/>
                <w:color w:val="000000"/>
                <w:sz w:val="20"/>
              </w:rPr>
            </w:pPr>
            <w:r>
              <w:rPr>
                <w:rFonts w:ascii="Times New Roman" w:hAnsi="Times New Roman"/>
                <w:i/>
                <w:color w:val="000000"/>
                <w:sz w:val="20"/>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right"/>
        <w:rPr/>
      </w:pPr>
      <w:bookmarkStart w:id="22" w:name="amwl-ex10_1.htm"/>
      <w:bookmarkStart w:id="23" w:name="ksamwlex10_1"/>
      <w:bookmarkEnd w:id="22"/>
      <w:bookmarkEnd w:id="23"/>
      <w:r>
        <w:rPr/>
        <w:t> </w:t>
      </w:r>
      <w:r>
        <w:br w:type="page"/>
      </w:r>
    </w:p>
    <w:p>
      <w:pPr>
        <w:pStyle w:val="TextBody"/>
        <w:bidi w:val="0"/>
        <w:spacing w:before="1" w:after="283"/>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1" w:after="283"/>
        <w:jc w:val="center"/>
        <w:rPr>
          <w:rFonts w:ascii="Times New Roman" w:hAnsi="Times New Roman"/>
          <w:b/>
          <w:color w:val="000000"/>
          <w:sz w:val="24"/>
        </w:rPr>
      </w:pPr>
      <w:r>
        <w:rPr>
          <w:rFonts w:ascii="Times New Roman" w:hAnsi="Times New Roman"/>
          <w:b/>
          <w:color w:val="000000"/>
          <w:sz w:val="24"/>
        </w:rPr>
        <w:t>AMERICAN WELL CORPORATION</w:t>
      </w:r>
    </w:p>
    <w:p>
      <w:pPr>
        <w:pStyle w:val="TextBody"/>
        <w:bidi w:val="0"/>
        <w:spacing w:before="1" w:after="283"/>
        <w:jc w:val="center"/>
        <w:rPr>
          <w:rFonts w:ascii="Times New Roman" w:hAnsi="Times New Roman"/>
          <w:b/>
          <w:color w:val="000000"/>
          <w:sz w:val="24"/>
        </w:rPr>
      </w:pPr>
      <w:r>
        <w:rPr>
          <w:rFonts w:ascii="Times New Roman" w:hAnsi="Times New Roman"/>
          <w:b/>
          <w:color w:val="000000"/>
          <w:sz w:val="24"/>
        </w:rPr>
        <w:t>NON-EMPLOYEE DIRECTOR COMPENSATION POLICY</w:t>
      </w:r>
    </w:p>
    <w:p>
      <w:pPr>
        <w:pStyle w:val="TextBody"/>
        <w:bidi w:val="0"/>
        <w:spacing w:before="1" w:after="283"/>
        <w:jc w:val="center"/>
        <w:rPr/>
      </w:pPr>
      <w:r>
        <w:rPr/>
        <w:t> </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Originally Adopted November 2, 2020; and</w:t>
      </w:r>
    </w:p>
    <w:p>
      <w:pPr>
        <w:pStyle w:val="TextBody"/>
        <w:bidi w:val="0"/>
        <w:spacing w:before="0" w:after="160"/>
        <w:jc w:val="center"/>
        <w:rPr>
          <w:rFonts w:ascii="Times New Roman" w:hAnsi="Times New Roman"/>
          <w:b/>
          <w:color w:val="000000"/>
          <w:sz w:val="24"/>
        </w:rPr>
      </w:pPr>
      <w:r>
        <w:rPr>
          <w:rFonts w:ascii="Times New Roman" w:hAnsi="Times New Roman"/>
          <w:b/>
          <w:color w:val="000000"/>
          <w:sz w:val="24"/>
        </w:rPr>
        <w:t>Amended and Restated on July 24, 2026</w:t>
      </w:r>
    </w:p>
    <w:p>
      <w:pPr>
        <w:pStyle w:val="TextBody"/>
        <w:bidi w:val="0"/>
        <w:jc w:val="both"/>
        <w:rPr>
          <w:rFonts w:ascii="Times New Roman" w:hAnsi="Times New Roman"/>
          <w:sz w:val="20"/>
        </w:rPr>
      </w:pPr>
      <w:r>
        <w:rPr>
          <w:rFonts w:ascii="Times New Roman" w:hAnsi="Times New Roman"/>
          <w:color w:val="000000"/>
          <w:sz w:val="24"/>
        </w:rPr>
        <w:t>Non-employee members of the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of American Well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shall be eligible to receive cash and equity compensation as set forth in this Non-Employee Director Compensation Policy (this “</w:t>
      </w:r>
      <w:r>
        <w:rPr>
          <w:rFonts w:ascii="Times New Roman" w:hAnsi="Times New Roman"/>
          <w:b/>
          <w:i/>
          <w:color w:val="000000"/>
          <w:sz w:val="24"/>
        </w:rPr>
        <w:t>Policy</w:t>
      </w:r>
      <w:r>
        <w:rPr>
          <w:rFonts w:ascii="Times New Roman" w:hAnsi="Times New Roman"/>
          <w:color w:val="000000"/>
          <w:sz w:val="20"/>
        </w:rPr>
        <w:t>”</w:t>
      </w:r>
      <w:r>
        <w:rPr>
          <w:rFonts w:ascii="Times New Roman" w:hAnsi="Times New Roman"/>
          <w:color w:val="000000"/>
          <w:sz w:val="24"/>
        </w:rPr>
        <w:t>).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Times New Roman" w:hAnsi="Times New Roman"/>
          <w:b/>
          <w:i/>
          <w:color w:val="000000"/>
          <w:sz w:val="24"/>
        </w:rPr>
        <w:t>Non-Employee Director</w:t>
      </w:r>
      <w:r>
        <w:rPr>
          <w:rFonts w:ascii="Times New Roman" w:hAnsi="Times New Roman"/>
          <w:color w:val="000000"/>
          <w:sz w:val="20"/>
        </w:rPr>
        <w:t>”</w:t>
      </w:r>
      <w:r>
        <w:rPr>
          <w:rFonts w:ascii="Times New Roman" w:hAnsi="Times New Roman"/>
          <w:color w:val="000000"/>
          <w:sz w:val="24"/>
        </w:rPr>
        <w:t>) who may be eligible to receive such cash or equity compensation, unless such Non-Employee Director declines the receipt of such cash or equity compensation by written notice to the Company. This Policy became effective on November 2, 2020 and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pStyle w:val="TextBody"/>
        <w:bidi w:val="0"/>
        <w:spacing w:before="1" w:after="283"/>
        <w:jc w:val="both"/>
        <w:rPr>
          <w:rFonts w:ascii="Times New Roman" w:hAnsi="Times New Roman"/>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u w:val="single"/>
        </w:rPr>
        <w:t>Cash Compensation</w:t>
      </w:r>
      <w:r>
        <w:rPr>
          <w:rFonts w:ascii="Times New Roman" w:hAnsi="Times New Roman"/>
          <w:color w:val="000000"/>
          <w:sz w:val="24"/>
        </w:rPr>
        <w:t>.</w:t>
      </w:r>
    </w:p>
    <w:p>
      <w:pPr>
        <w:pStyle w:val="TextBody"/>
        <w:bidi w:val="0"/>
        <w:spacing w:before="1"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u w:val="single"/>
        </w:rPr>
        <w:t>Annual Retainers</w:t>
      </w:r>
      <w:r>
        <w:rPr>
          <w:rFonts w:ascii="Times New Roman" w:hAnsi="Times New Roman"/>
          <w:color w:val="000000"/>
          <w:sz w:val="24"/>
        </w:rPr>
        <w:t>. Each Non-Employee Director shall receive an annual retainer of $60,000 for service on the Board. Each Non-Employee Director shall also receive annual cash retainers for their service as a Committee Member or a Committee Chair on one of three (3) established Board Committees according to the following schedule:</w:t>
      </w:r>
    </w:p>
    <w:p>
      <w:pPr>
        <w:pStyle w:val="TextBody"/>
        <w:bidi w:val="0"/>
        <w:spacing w:before="1" w:after="283"/>
        <w:jc w:val="both"/>
        <w:rPr>
          <w:rFonts w:ascii="Times New Roman" w:hAnsi="Times New Roman"/>
          <w:sz w:val="20"/>
        </w:rPr>
      </w:pPr>
      <w:r>
        <w:rPr>
          <w:rFonts w:ascii="Times New Roman" w:hAnsi="Times New Roman"/>
          <w:color w:val="000000"/>
          <w:sz w:val="24"/>
          <w:u w:val="single"/>
        </w:rPr>
        <w:t>Committee Chairs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Audit Committee Chair ($20,000)</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Compensation Committee Chair ($15,000)</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Nominating and Corporate Governance Committee Chair ($10,000)</w:t>
      </w:r>
    </w:p>
    <w:p>
      <w:pPr>
        <w:pStyle w:val="TextBody"/>
        <w:bidi w:val="0"/>
        <w:spacing w:before="1" w:after="283"/>
        <w:jc w:val="both"/>
        <w:rPr/>
      </w:pPr>
      <w:r>
        <w:rPr/>
        <w:t> </w:t>
      </w:r>
    </w:p>
    <w:p>
      <w:pPr>
        <w:pStyle w:val="TextBody"/>
        <w:bidi w:val="0"/>
        <w:spacing w:before="1" w:after="283"/>
        <w:jc w:val="both"/>
        <w:rPr>
          <w:rFonts w:ascii="Times New Roman" w:hAnsi="Times New Roman"/>
          <w:color w:val="000000"/>
          <w:sz w:val="24"/>
          <w:u w:val="single"/>
        </w:rPr>
      </w:pPr>
      <w:r>
        <w:rPr>
          <w:rFonts w:ascii="Times New Roman" w:hAnsi="Times New Roman"/>
          <w:color w:val="000000"/>
          <w:sz w:val="24"/>
          <w:u w:val="single"/>
        </w:rPr>
        <w:t>Committee Members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Audit Committee Member ($10,000)</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Compensation Committee Member ($7,500)</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Nominating and Corporate Governance Committee Member ($5,000)</w:t>
      </w:r>
    </w:p>
    <w:p>
      <w:pPr>
        <w:pStyle w:val="TextBody"/>
        <w:bidi w:val="0"/>
        <w:spacing w:before="1" w:after="283"/>
        <w:jc w:val="both"/>
        <w:rPr/>
      </w:pPr>
      <w:r>
        <w:rPr/>
        <w:t> </w:t>
      </w:r>
    </w:p>
    <w:p>
      <w:pPr>
        <w:pStyle w:val="TextBody"/>
        <w:bidi w:val="0"/>
        <w:spacing w:before="1" w:after="283"/>
        <w:jc w:val="both"/>
        <w:rPr>
          <w:rFonts w:ascii="Times New Roman" w:hAnsi="Times New Roman"/>
          <w:sz w:val="20"/>
        </w:rPr>
      </w:pPr>
      <w:bookmarkStart w:id="24" w:name="eolpage294"/>
      <w:bookmarkEnd w:id="24"/>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u w:val="single"/>
        </w:rPr>
        <w:t>Payment of Retainers</w:t>
      </w:r>
      <w:r>
        <w:rPr>
          <w:rFonts w:ascii="Times New Roman" w:hAnsi="Times New Roman"/>
          <w:color w:val="000000"/>
          <w:sz w:val="24"/>
        </w:rPr>
        <w:t>. The annual retainer described in Section 1(a) shall be earned on a quarterly basis based on a calendar quarter and shall be paid by the Company in arrears not later than the fifteenth day following the end of each calendar quarter. In the event a Non-Employee Director does not serve as a Non-Employee Director for an entire calendar quarter, such Non-Employee Director shall receive a prorated portion of the retainer(s) otherwise payable to such Non-Employee Director for such calendar quarter pursuant to Section 1(a) , with such prorated portion determined by multiplying such otherwise payable retainer by a fraction,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numerator of which is the number of days during which the Non-Employee Director serves as a Non-Employee Director during the applicable calendar quarter and the denominator of which is the number of days in the applicable calendar quarter.</w:t>
      </w:r>
    </w:p>
    <w:p>
      <w:pPr>
        <w:pStyle w:val="TextBody"/>
        <w:bidi w:val="0"/>
        <w:spacing w:before="1" w:after="283"/>
        <w:jc w:val="both"/>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color w:val="000000"/>
          <w:sz w:val="24"/>
          <w:u w:val="single"/>
        </w:rPr>
        <w:t>Equity Compensation</w:t>
      </w:r>
      <w:r>
        <w:rPr>
          <w:rFonts w:ascii="Times New Roman" w:hAnsi="Times New Roman"/>
          <w:color w:val="000000"/>
          <w:sz w:val="24"/>
        </w:rPr>
        <w:t>. Non-Employee Directors shall be granted the equity awards described below. The awards described below shall be granted under and shall be subject to the terms and provisions of the Company’s 2020 Equity Incentive Plan or any other applicable Company equity incentive plan then-maintained by the Company (such plan, as may be amended from time to time, the “</w:t>
      </w:r>
      <w:r>
        <w:rPr>
          <w:rFonts w:ascii="Times New Roman" w:hAnsi="Times New Roman"/>
          <w:b/>
          <w:i/>
          <w:color w:val="000000"/>
          <w:sz w:val="24"/>
        </w:rPr>
        <w:t>Equity Plan</w:t>
      </w:r>
      <w:r>
        <w:rPr>
          <w:rFonts w:ascii="Times New Roman" w:hAnsi="Times New Roman"/>
          <w:color w:val="000000"/>
          <w:sz w:val="20"/>
        </w:rPr>
        <w:t>”</w:t>
      </w:r>
      <w:r>
        <w:rPr>
          <w:rFonts w:ascii="Times New Roman" w:hAnsi="Times New Roman"/>
          <w:color w:val="000000"/>
          <w:sz w:val="24"/>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pStyle w:val="TextBody"/>
        <w:bidi w:val="0"/>
        <w:spacing w:before="1"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u w:val="single"/>
        </w:rPr>
        <w:t>Annual Awards</w:t>
      </w:r>
      <w:r>
        <w:rPr>
          <w:rFonts w:ascii="Times New Roman" w:hAnsi="Times New Roman"/>
          <w:color w:val="000000"/>
          <w:sz w:val="24"/>
        </w:rPr>
        <w:t>. Each Non-Employee Director who (i) serves on the Board as of the date of any annual meeting of the Company’s stockholders (an “</w:t>
      </w:r>
      <w:r>
        <w:rPr>
          <w:rFonts w:ascii="Times New Roman" w:hAnsi="Times New Roman"/>
          <w:b/>
          <w:i/>
          <w:color w:val="000000"/>
          <w:sz w:val="24"/>
        </w:rPr>
        <w:t>Annual Meeting</w:t>
      </w:r>
      <w:r>
        <w:rPr>
          <w:rFonts w:ascii="Times New Roman" w:hAnsi="Times New Roman"/>
          <w:color w:val="000000"/>
          <w:sz w:val="20"/>
        </w:rPr>
        <w:t>”</w:t>
      </w:r>
      <w:r>
        <w:rPr>
          <w:rFonts w:ascii="Times New Roman" w:hAnsi="Times New Roman"/>
          <w:color w:val="000000"/>
          <w:sz w:val="24"/>
        </w:rPr>
        <w:t>) and (ii) will continue to serve as a Non-Employee Director immediately following such Annual Meeting shall be automatically granted, on the date of such Annual Meeting, an award of restricted stock units that have an aggregate fair value on the date of such Annual Meeting of $125,000 (as determined in accordance with ASC 718 and with the number of shares of common stock underlying such award subject to adjustment as provided in the Equity Plan). The awards described in this Section 2(a) shall be referred to as the “</w:t>
      </w:r>
      <w:r>
        <w:rPr>
          <w:rFonts w:ascii="Times New Roman" w:hAnsi="Times New Roman"/>
          <w:b/>
          <w:i/>
          <w:color w:val="000000"/>
          <w:sz w:val="24"/>
        </w:rPr>
        <w:t>Annual Awards</w:t>
      </w:r>
      <w:r>
        <w:rPr>
          <w:rFonts w:ascii="Times New Roman" w:hAnsi="Times New Roman"/>
          <w:color w:val="000000"/>
          <w:sz w:val="24"/>
        </w:rPr>
        <w:t>.” For the avoidance of doubt, if the Company’s Annual Meeting does not occur by June 30 of each calendar year, each Non-Employee Director shall be automatically granted an Annual Award on June 30.</w:t>
      </w:r>
      <w:r>
        <w:rPr>
          <w:rFonts w:ascii="Times New Roman" w:hAnsi="Times New Roman"/>
          <w:color w:val="000000"/>
          <w:sz w:val="20"/>
        </w:rPr>
        <w:t xml:space="preserve"> </w:t>
      </w:r>
    </w:p>
    <w:p>
      <w:pPr>
        <w:pStyle w:val="TextBody"/>
        <w:bidi w:val="0"/>
        <w:spacing w:before="1" w:after="283"/>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u w:val="single"/>
        </w:rPr>
        <w:t>Initial Awards</w:t>
      </w:r>
      <w:r>
        <w:rPr>
          <w:rFonts w:ascii="Times New Roman" w:hAnsi="Times New Roman"/>
          <w:color w:val="000000"/>
          <w:sz w:val="24"/>
        </w:rPr>
        <w:t>. Except as otherwise determined by the Board, each Non-Employee Director who is initially elected or appointed to the Board on any date (including the date of an Annual Meeting) shall be automatically granted, on the date of such Non-Employee Director’s initial election or appointment (such Non-Employee Director’s “</w:t>
      </w:r>
      <w:r>
        <w:rPr>
          <w:rFonts w:ascii="Times New Roman" w:hAnsi="Times New Roman"/>
          <w:b/>
          <w:i/>
          <w:color w:val="000000"/>
          <w:sz w:val="24"/>
        </w:rPr>
        <w:t>Start Date</w:t>
      </w:r>
      <w:r>
        <w:rPr>
          <w:rFonts w:ascii="Times New Roman" w:hAnsi="Times New Roman"/>
          <w:color w:val="000000"/>
          <w:sz w:val="20"/>
        </w:rPr>
        <w:t>”</w:t>
      </w:r>
      <w:r>
        <w:rPr>
          <w:rFonts w:ascii="Times New Roman" w:hAnsi="Times New Roman"/>
          <w:color w:val="000000"/>
          <w:sz w:val="24"/>
        </w:rPr>
        <w:t>), an award of restricted stock units that have an aggregate fair value on such Non-Employee Director’s Start Date equal to $250,000 (as determined in accordance with ASC 718). The awards described in this Section 2(b) shall be referred to as “</w:t>
      </w:r>
      <w:r>
        <w:rPr>
          <w:rFonts w:ascii="Times New Roman" w:hAnsi="Times New Roman"/>
          <w:b/>
          <w:i/>
          <w:color w:val="000000"/>
          <w:sz w:val="24"/>
        </w:rPr>
        <w:t>Initial Awards</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For the avoidance of doubt and notwithstanding anything set forth herein, (i) no Non-Employee Director shall be granted more than one Initial Award, and (ii) in the event that a Non-Employee Director’s Start Date occurs on the date of an Annual Meeting, such Director shall receive an award of restricted stock units that have an aggregate fair value on such Non-Employee Director’s Start Date equal to $375,000 (as determined in accordance with ASC 718) (which is meant to represent the sum of an Initial Award and an Annual Award).</w:t>
      </w:r>
      <w:r>
        <w:rPr>
          <w:rFonts w:ascii="Times New Roman" w:hAnsi="Times New Roman"/>
          <w:color w:val="000000"/>
          <w:sz w:val="20"/>
        </w:rPr>
        <w:t xml:space="preserve"> </w:t>
      </w:r>
    </w:p>
    <w:p>
      <w:pPr>
        <w:pStyle w:val="TextBody"/>
        <w:bidi w:val="0"/>
        <w:spacing w:before="1" w:after="283"/>
        <w:jc w:val="both"/>
        <w:rPr>
          <w:rFonts w:ascii="Times New Roman" w:hAnsi="Times New Roman"/>
          <w:sz w:val="20"/>
        </w:rPr>
      </w:pPr>
      <w:bookmarkStart w:id="25" w:name="eolpage295"/>
      <w:bookmarkEnd w:id="25"/>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u w:val="single"/>
        </w:rPr>
        <w:t>Termination of Employment of Employee Directors</w:t>
      </w:r>
      <w:r>
        <w:rPr>
          <w:rFonts w:ascii="Times New Roman" w:hAnsi="Times New Roman"/>
          <w:color w:val="000000"/>
          <w:sz w:val="24"/>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2(b) above, but to the extent that they are otherwise eligible, will be eligible to receive, after termination from employment with the Company and any parent or subsidiary of the Company, Annual Awards as described in Section 2(a) above.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color w:val="000000"/>
          <w:sz w:val="24"/>
          <w:u w:val="single"/>
        </w:rPr>
        <w:t>Vesting of Awards Granted to Non-Employee Directors</w:t>
      </w:r>
      <w:r>
        <w:rPr>
          <w:rFonts w:ascii="Times New Roman" w:hAnsi="Times New Roman"/>
          <w:color w:val="000000"/>
          <w:sz w:val="24"/>
        </w:rPr>
        <w:t>. Each Annual Award shall vest on the earlier of (i) the day immediately preceding the date of the first Annual Meeting following the date of grant and (ii) the first anniversary of the date of grant, subject to the Non-Employee Director continuing in service on the Board through the applicable vesting date. Each Initial Award shall vest ratably over a period of three years, with such tranches vesting on the first, second and third anniversaries of the date of grant. No portion of an Annual Award or Initial Award that is unvested at the time of a Non-Employee Director’s termination of service on the Board shall become vested thereafter.</w:t>
      </w:r>
    </w:p>
    <w:p>
      <w:pPr>
        <w:pStyle w:val="TextBody"/>
        <w:bidi w:val="0"/>
        <w:spacing w:before="1" w:after="283"/>
        <w:jc w:val="both"/>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color w:val="000000"/>
          <w:sz w:val="24"/>
          <w:u w:val="single"/>
        </w:rPr>
        <w:t>Expenses</w:t>
      </w:r>
    </w:p>
    <w:p>
      <w:pPr>
        <w:pStyle w:val="TextBody"/>
        <w:bidi w:val="0"/>
        <w:spacing w:before="1" w:after="283"/>
        <w:jc w:val="both"/>
        <w:rPr>
          <w:rFonts w:ascii="Times New Roman" w:hAnsi="Times New Roman"/>
          <w:sz w:val="20"/>
        </w:rPr>
      </w:pPr>
      <w:r>
        <w:rPr>
          <w:rFonts w:ascii="Times New Roman" w:hAnsi="Times New Roman"/>
          <w:color w:val="000000"/>
          <w:sz w:val="24"/>
        </w:rPr>
        <w:t xml:space="preserve">The Company will reimburse each Non-Employee Director for ordinary, necessary and reasonable out-of-pocket travel expenses to cover in-person attendance at and participation in Board meetings and meetings of any committee of the Board; </w:t>
      </w:r>
      <w:r>
        <w:rPr>
          <w:rFonts w:ascii="Times New Roman" w:hAnsi="Times New Roman"/>
          <w:i/>
          <w:color w:val="000000"/>
          <w:sz w:val="24"/>
        </w:rPr>
        <w:t>provided</w:t>
      </w:r>
      <w:r>
        <w:rPr>
          <w:rFonts w:ascii="Times New Roman" w:hAnsi="Times New Roman"/>
          <w:color w:val="000000"/>
          <w:sz w:val="24"/>
        </w:rPr>
        <w:t>, that the Non-Employee Director timely submit to the Company appropriate documentation substantiating such expenses in accordance with the Company’s travel and expense policy applicable to directors, as in effect from time to time. To the extent that any taxable reimbursements are provided to any Non-Employee Director, they will be provided in accordance with Section 409A of the Internal Revenue Code of 1986, as amended, including, but not limited to, the following provisions: (i) the amount of any such expenses eligible for reimbursement during such individual’s taxable year may not affect the expenses eligible for reimbursement in any other taxable year; (ii) the reimbursement of an eligible expense must be made no later than the last day of such individual’s taxable year that immediately follows the taxable year in which the expense was incurred; and (iii) the right to any reimbursement may not be subject to liquidation or exchange for another benefit.</w:t>
      </w:r>
    </w:p>
    <w:p>
      <w:pPr>
        <w:pStyle w:val="HorizontalLine"/>
        <w:pBdr>
          <w:bottom w:val="double" w:sz="2" w:space="0" w:color="808080"/>
        </w:pBdr>
        <w:bidi w:val="0"/>
        <w:spacing w:before="0" w:after="283"/>
        <w:jc w:val="left"/>
        <w:rPr/>
      </w:pPr>
      <w:r>
        <w:rPr/>
      </w:r>
    </w:p>
    <w:p>
      <w:pPr>
        <w:pStyle w:val="TextBody"/>
        <w:bidi w:val="0"/>
        <w:jc w:val="left"/>
        <w:rPr/>
      </w:pPr>
      <w:bookmarkStart w:id="26" w:name="amwl-ex31_1.htm"/>
      <w:bookmarkStart w:id="27" w:name="ksamwlex31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 OF CHIEF EXECUTIVE OFFICERS PERIODIC REPORT UNDER SECTION 302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Ido Schoenberg,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American Well Corporation for the period ended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874" w:type="dxa"/>
        <w:jc w:val="left"/>
        <w:tblInd w:w="0" w:type="dxa"/>
        <w:tblLayout w:type="fixed"/>
        <w:tblCellMar>
          <w:top w:w="28" w:type="dxa"/>
          <w:left w:w="28" w:type="dxa"/>
          <w:bottom w:w="28" w:type="dxa"/>
          <w:right w:w="28" w:type="dxa"/>
        </w:tblCellMar>
      </w:tblPr>
      <w:tblGrid>
        <w:gridCol w:w="1846"/>
        <w:gridCol w:w="406"/>
        <w:gridCol w:w="146"/>
        <w:gridCol w:w="247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Ido Schoenberg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Ido Schoenberg</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amwl-ex31_2.htm"/>
      <w:bookmarkStart w:id="29" w:name="ksamwlex31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 PERIODIC REPORT UNDER SECTION 302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Mark Hirschhorn,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American Well Corporation for the period ended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814" w:type="dxa"/>
        <w:jc w:val="left"/>
        <w:tblInd w:w="0" w:type="dxa"/>
        <w:tblLayout w:type="fixed"/>
        <w:tblCellMar>
          <w:top w:w="28" w:type="dxa"/>
          <w:left w:w="28" w:type="dxa"/>
          <w:bottom w:w="28" w:type="dxa"/>
          <w:right w:w="28" w:type="dxa"/>
        </w:tblCellMar>
      </w:tblPr>
      <w:tblGrid>
        <w:gridCol w:w="1846"/>
        <w:gridCol w:w="406"/>
        <w:gridCol w:w="146"/>
        <w:gridCol w:w="241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Hirschhorn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Hirschhorn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amwl-ex32_1.htm"/>
      <w:bookmarkStart w:id="31" w:name="ksamwlex32_1"/>
      <w:bookmarkEnd w:id="30"/>
      <w:bookmarkEnd w:id="31"/>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 OF CHIEF EXECUTIVE OFFICERS PURSUANT TO 18 U.S.C. SECTION 1350, 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ADOPTED 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Ido Schoenberg, certify, pursuant to 18 U.S.C. Section 1350, as adopted pursuant to Section 906 of the Sarbanes-Oxley Act of 2002, that the Quarterly Report on Form 10-Q of American Well Corporation for the fiscal quarter ended June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American Well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4, 2026</w:t>
      </w:r>
    </w:p>
    <w:tbl>
      <w:tblPr>
        <w:tblW w:w="3122" w:type="dxa"/>
        <w:jc w:val="left"/>
        <w:tblInd w:w="0" w:type="dxa"/>
        <w:tblLayout w:type="fixed"/>
        <w:tblCellMar>
          <w:top w:w="28" w:type="dxa"/>
          <w:left w:w="28" w:type="dxa"/>
          <w:bottom w:w="28" w:type="dxa"/>
          <w:right w:w="28" w:type="dxa"/>
        </w:tblCellMar>
      </w:tblPr>
      <w:tblGrid>
        <w:gridCol w:w="646"/>
        <w:gridCol w:w="2476"/>
      </w:tblGrid>
      <w:tr>
        <w:trPr/>
        <w:tc>
          <w:tcPr>
            <w:tcW w:w="6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Ido Schoenberg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Ido Schoenberg</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amwl-ex32_2.htm"/>
      <w:bookmarkStart w:id="33" w:name="ksamwlex32_2"/>
      <w:bookmarkEnd w:id="32"/>
      <w:bookmarkEnd w:id="3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CHIEF FINANCIAL OFFICER PURSUANT TO 18 U.S.C. SECTION 1350, AS ADOPTED PURSUANT TO 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Mark Hirschhorn, certify, pursuant to 18 U.S.C. Section 1350, as adopted pursuant to Section 906 of the Sarbanes-Oxley Act of 2002, that the Quarterly Report on Form 10-Q of American Well Corporation for the fiscal quarter ended June 30,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American Well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August 4, 2026 </w:t>
      </w:r>
    </w:p>
    <w:tbl>
      <w:tblPr>
        <w:tblW w:w="3062" w:type="dxa"/>
        <w:jc w:val="left"/>
        <w:tblInd w:w="0" w:type="dxa"/>
        <w:tblLayout w:type="fixed"/>
        <w:tblCellMar>
          <w:top w:w="28" w:type="dxa"/>
          <w:left w:w="28" w:type="dxa"/>
          <w:bottom w:w="28" w:type="dxa"/>
          <w:right w:w="28" w:type="dxa"/>
        </w:tblCellMar>
      </w:tblPr>
      <w:tblGrid>
        <w:gridCol w:w="646"/>
        <w:gridCol w:w="2416"/>
      </w:tblGrid>
      <w:tr>
        <w:trPr/>
        <w:tc>
          <w:tcPr>
            <w:tcW w:w="64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Hirschhorn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Hirschhorn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19044</Words>
  <Characters>105347</Characters>
  <CharactersWithSpaces>125592</CharactersWithSpaces>
  <Paragraphs>5352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