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mwl-20260331.htm"/>
      <w:bookmarkStart w:id="1" w:name="ksamwl20260331"/>
      <w:bookmarkEnd w:id="0"/>
      <w:bookmarkEnd w:id="1"/>
      <w:r>
        <w:rPr/>
        <w:t> </w:t>
      </w:r>
    </w:p>
    <w:p>
      <w:pPr>
        <w:pStyle w:val="TextBody"/>
        <w:pBdr>
          <w:top w:val="double" w:sz="4" w:space="1" w:color="000000"/>
        </w:pBdr>
        <w:bidi w:val="0"/>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32"/>
        </w:rPr>
        <w:t>FORM 10-Q</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tc>
      </w:tr>
    </w:tbl>
    <w:p>
      <w:pPr>
        <w:pStyle w:val="TextBody"/>
        <w:bidi w:val="0"/>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20"/>
        </w:rPr>
        <w:t>For the quarterly period ended March 31, 2026</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tc>
      </w:tr>
    </w:tbl>
    <w:p>
      <w:pPr>
        <w:pStyle w:val="TextBody"/>
        <w:bidi w:val="0"/>
        <w:jc w:val="left"/>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20"/>
        </w:rPr>
        <w:t>Commission File Number: 001-39515</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44"/>
        </w:rPr>
        <w:t>American Well Corporation</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1861"/>
        <w:gridCol w:w="1816"/>
      </w:tblGrid>
      <w:tr>
        <w:trPr/>
        <w:tc>
          <w:tcPr>
            <w:tcW w:w="1861"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18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20-5009396</w:t>
            </w:r>
          </w:p>
        </w:tc>
      </w:tr>
      <w:tr>
        <w:trPr/>
        <w:tc>
          <w:tcPr>
            <w:tcW w:w="18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of incorporation)</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Number)</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75 State Street, Ste 100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Boston, MA</w:t>
      </w:r>
      <w:r>
        <w:rPr>
          <w:rFonts w:ascii="Times New Roman" w:hAnsi="Times New Roman"/>
          <w:color w:val="000000"/>
          <w:sz w:val="20"/>
        </w:rPr>
        <w:t xml:space="preserve"> </w:t>
      </w:r>
      <w:r>
        <w:rPr>
          <w:rFonts w:ascii="Times New Roman" w:hAnsi="Times New Roman"/>
          <w:b/>
          <w:color w:val="000000"/>
          <w:sz w:val="20"/>
        </w:rPr>
        <w:t>02109</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registrant’s principal executive offices)</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20"/>
        </w:rPr>
        <w:t>(617) 204-3500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315" w:type="dxa"/>
        <w:jc w:val="left"/>
        <w:tblInd w:w="0" w:type="dxa"/>
        <w:tblLayout w:type="fixed"/>
        <w:tblCellMar>
          <w:top w:w="28" w:type="dxa"/>
          <w:left w:w="28" w:type="dxa"/>
          <w:bottom w:w="28" w:type="dxa"/>
          <w:right w:w="28" w:type="dxa"/>
        </w:tblCellMar>
      </w:tblPr>
      <w:tblGrid>
        <w:gridCol w:w="2251"/>
        <w:gridCol w:w="146"/>
        <w:gridCol w:w="1456"/>
        <w:gridCol w:w="146"/>
        <w:gridCol w:w="3316"/>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251"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0"/>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0"/>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251" w:type="dxa"/>
            <w:tcBorders/>
            <w:tcMar>
              <w:top w:w="0" w:type="dxa"/>
              <w:left w:w="0" w:type="dxa"/>
              <w:bottom w:w="0" w:type="dxa"/>
              <w:right w:w="0" w:type="dxa"/>
            </w:tcMar>
            <w:vAlign w:val="center"/>
          </w:tcPr>
          <w:p>
            <w:pPr>
              <w:pStyle w:val="TableContents"/>
              <w:bidi w:val="0"/>
              <w:spacing w:before="20" w:after="283"/>
              <w:jc w:val="center"/>
              <w:rPr>
                <w:rFonts w:ascii="Times New Roman" w:hAnsi="Times New Roman"/>
                <w:sz w:val="18"/>
              </w:rPr>
            </w:pPr>
            <w:r>
              <w:rPr>
                <w:rFonts w:ascii="Times New Roman" w:hAnsi="Times New Roman"/>
                <w:b/>
                <w:color w:val="000000"/>
                <w:sz w:val="18"/>
              </w:rPr>
              <w:t>Class A common stock,</w:t>
            </w:r>
            <w:r>
              <w:rPr>
                <w:rFonts w:ascii="Times New Roman" w:hAnsi="Times New Roman"/>
                <w:color w:val="000000"/>
                <w:sz w:val="18"/>
              </w:rPr>
              <w:br/>
            </w:r>
            <w:r>
              <w:rPr>
                <w:rFonts w:ascii="Times New Roman" w:hAnsi="Times New Roman"/>
                <w:b/>
                <w:color w:val="000000"/>
                <w:sz w:val="18"/>
              </w:rPr>
              <w:t>par value of $0.01 per share</w:t>
            </w:r>
          </w:p>
        </w:tc>
        <w:tc>
          <w:tcPr>
            <w:tcW w:w="146" w:type="dxa"/>
            <w:tcBorders/>
            <w:tcMar>
              <w:top w:w="0" w:type="dxa"/>
              <w:left w:w="0" w:type="dxa"/>
              <w:bottom w:w="0" w:type="dxa"/>
              <w:right w:w="0" w:type="dxa"/>
            </w:tcMar>
            <w:vAlign w:val="center"/>
          </w:tcPr>
          <w:p>
            <w:pPr>
              <w:pStyle w:val="TableContents"/>
              <w:bidi w:val="0"/>
              <w:spacing w:before="2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20" w:after="283"/>
              <w:jc w:val="center"/>
              <w:rPr>
                <w:rFonts w:ascii="Times New Roman" w:hAnsi="Times New Roman"/>
                <w:b/>
                <w:color w:val="000000"/>
                <w:sz w:val="18"/>
              </w:rPr>
            </w:pPr>
            <w:r>
              <w:rPr>
                <w:rFonts w:ascii="Times New Roman" w:hAnsi="Times New Roman"/>
                <w:b/>
                <w:color w:val="000000"/>
                <w:sz w:val="18"/>
              </w:rPr>
              <w:t>AMWL</w:t>
            </w:r>
          </w:p>
        </w:tc>
        <w:tc>
          <w:tcPr>
            <w:tcW w:w="146" w:type="dxa"/>
            <w:tcBorders/>
            <w:tcMar>
              <w:top w:w="0" w:type="dxa"/>
              <w:left w:w="0" w:type="dxa"/>
              <w:bottom w:w="0" w:type="dxa"/>
              <w:right w:w="0" w:type="dxa"/>
            </w:tcMar>
            <w:vAlign w:val="center"/>
          </w:tcPr>
          <w:p>
            <w:pPr>
              <w:pStyle w:val="TableContents"/>
              <w:bidi w:val="0"/>
              <w:spacing w:before="2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20" w:after="283"/>
              <w:jc w:val="center"/>
              <w:rPr>
                <w:rFonts w:ascii="Times New Roman" w:hAnsi="Times New Roman"/>
                <w:b/>
                <w:color w:val="000000"/>
                <w:sz w:val="18"/>
              </w:rPr>
            </w:pPr>
            <w:r>
              <w:rPr>
                <w:rFonts w:ascii="Times New Roman" w:hAnsi="Times New Roman"/>
                <w:b/>
                <w:color w:val="000000"/>
                <w:sz w:val="18"/>
              </w:rPr>
              <w:t>The New York Stock Exchange</w:t>
            </w:r>
          </w:p>
        </w:tc>
      </w:tr>
    </w:tbl>
    <w:p>
      <w:pPr>
        <w:pStyle w:val="TextBody"/>
        <w:bidi w:val="0"/>
        <w:jc w:val="left"/>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4530" w:type="dxa"/>
        <w:jc w:val="left"/>
        <w:tblInd w:w="0" w:type="dxa"/>
        <w:tblLayout w:type="fixed"/>
        <w:tblCellMar>
          <w:top w:w="28" w:type="dxa"/>
          <w:left w:w="28" w:type="dxa"/>
          <w:bottom w:w="28" w:type="dxa"/>
          <w:right w:w="28" w:type="dxa"/>
        </w:tblCellMar>
      </w:tblPr>
      <w:tblGrid>
        <w:gridCol w:w="1666"/>
        <w:gridCol w:w="316"/>
        <w:gridCol w:w="14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60" w:after="283"/>
        <w:jc w:val="left"/>
        <w:rPr/>
      </w:pPr>
      <w:r>
        <w:rPr/>
        <w:t> </w:t>
      </w:r>
    </w:p>
    <w:p>
      <w:pPr>
        <w:pStyle w:val="TextBody"/>
        <w:bidi w:val="0"/>
        <w:jc w:val="left"/>
        <w:rPr>
          <w:rFonts w:ascii="Times New Roman" w:hAnsi="Times New Roman"/>
          <w:sz w:val="20"/>
        </w:rPr>
      </w:pPr>
      <w:r>
        <w:rPr>
          <w:rFonts w:ascii="Times New Roman" w:hAnsi="Times New Roman"/>
          <w:color w:val="000000"/>
          <w:sz w:val="18"/>
        </w:rPr>
        <w:t>As of April 24, 2026, the number of shares of the registrant’s Class A common stock outstanding was 15,061,188, the number of shares of the registrant’s Class B common stock outstanding was 1,369,518</w:t>
      </w:r>
      <w:r>
        <w:rPr>
          <w:rFonts w:ascii="Times New Roman" w:hAnsi="Times New Roman"/>
          <w:color w:val="000000"/>
          <w:sz w:val="20"/>
        </w:rPr>
        <w:t xml:space="preserve"> </w:t>
      </w:r>
      <w:r>
        <w:rPr>
          <w:rFonts w:ascii="Times New Roman" w:hAnsi="Times New Roman"/>
          <w:color w:val="000000"/>
          <w:sz w:val="18"/>
        </w:rPr>
        <w:t>and the number of shares of the registrant’s Class C common stock outstanding was 277,777.</w:t>
      </w:r>
      <w:r>
        <w:rPr>
          <w:rFonts w:ascii="Times New Roman" w:hAnsi="Times New Roman"/>
          <w:color w:val="000000"/>
          <w:sz w:val="20"/>
        </w:rPr>
        <w:t xml:space="preserve">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American Well Corporation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QUARTERLY REPORT ON FORM 10-Q</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period ended March 31, 2026</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33"/>
        <w:gridCol w:w="8460"/>
        <w:gridCol w:w="512"/>
      </w:tblGrid>
      <w:tr>
        <w:trPr/>
        <w:tc>
          <w:tcPr>
            <w:tcW w:w="1233" w:type="dxa"/>
            <w:tcBorders/>
            <w:vAlign w:val="center"/>
          </w:tcPr>
          <w:p>
            <w:pPr>
              <w:pStyle w:val="TableContents"/>
              <w:bidi w:val="0"/>
              <w:spacing w:before="0" w:after="283"/>
              <w:jc w:val="left"/>
              <w:rPr>
                <w:sz w:val="4"/>
                <w:szCs w:val="4"/>
              </w:rPr>
            </w:pPr>
            <w:r>
              <w:rPr>
                <w:sz w:val="4"/>
                <w:szCs w:val="4"/>
              </w:rPr>
            </w:r>
          </w:p>
        </w:tc>
        <w:tc>
          <w:tcPr>
            <w:tcW w:w="846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1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1233" w:type="dxa"/>
            <w:tcBorders/>
            <w:tcMar>
              <w:top w:w="0" w:type="dxa"/>
              <w:left w:w="0" w:type="dxa"/>
              <w:bottom w:w="0" w:type="dxa"/>
              <w:right w:w="0" w:type="dxa"/>
            </w:tcMar>
            <w:vAlign w:val="center"/>
          </w:tcPr>
          <w:p>
            <w:pPr>
              <w:pStyle w:val="TableContents"/>
              <w:bidi w:val="0"/>
              <w:spacing w:before="0" w:after="283"/>
              <w:ind w:left="0" w:right="0" w:firstLine="492"/>
              <w:jc w:val="left"/>
              <w:rPr>
                <w:rFonts w:ascii="Times New Roman" w:hAnsi="Times New Roman"/>
                <w:color w:val="000000"/>
                <w:sz w:val="20"/>
              </w:rPr>
            </w:pPr>
            <w:r>
              <w:rPr>
                <w:rFonts w:ascii="Times New Roman" w:hAnsi="Times New Roman"/>
                <w:color w:val="000000"/>
                <w:sz w:val="20"/>
              </w:rPr>
              <w:t>PART I</w:t>
            </w:r>
          </w:p>
        </w:tc>
        <w:tc>
          <w:tcPr>
            <w:tcW w:w="8460"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part_i_financial_information">
              <w:r>
                <w:rPr>
                  <w:rStyle w:val="InternetLink"/>
                  <w:rFonts w:ascii="Times New Roman" w:hAnsi="Times New Roman"/>
                  <w:color w:val="0000FF"/>
                  <w:sz w:val="20"/>
                  <w:u w:val="single"/>
                </w:rPr>
                <w:t>Financial Information</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w:t>
            </w:r>
          </w:p>
        </w:tc>
      </w:tr>
      <w:tr>
        <w:trPr/>
        <w:tc>
          <w:tcPr>
            <w:tcW w:w="1233" w:type="dxa"/>
            <w:tcBorders/>
            <w:tcMar>
              <w:top w:w="0" w:type="dxa"/>
              <w:left w:w="0" w:type="dxa"/>
              <w:bottom w:w="0" w:type="dxa"/>
              <w:right w:w="0" w:type="dxa"/>
            </w:tcMar>
            <w:vAlign w:val="center"/>
          </w:tcPr>
          <w:p>
            <w:pPr>
              <w:pStyle w:val="TableContents"/>
              <w:bidi w:val="0"/>
              <w:spacing w:before="0" w:after="283"/>
              <w:ind w:left="0" w:right="0" w:firstLine="492"/>
              <w:jc w:val="left"/>
              <w:rPr>
                <w:rFonts w:ascii="Times New Roman" w:hAnsi="Times New Roman"/>
                <w:color w:val="000000"/>
                <w:sz w:val="20"/>
              </w:rPr>
            </w:pPr>
            <w:r>
              <w:rPr>
                <w:rFonts w:ascii="Times New Roman" w:hAnsi="Times New Roman"/>
                <w:color w:val="000000"/>
                <w:sz w:val="20"/>
              </w:rPr>
              <w:t>Item 1.</w:t>
            </w:r>
          </w:p>
        </w:tc>
        <w:tc>
          <w:tcPr>
            <w:tcW w:w="8460"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item_1_financial_statements">
              <w:r>
                <w:rPr>
                  <w:rStyle w:val="InternetLink"/>
                  <w:rFonts w:ascii="Times New Roman" w:hAnsi="Times New Roman"/>
                  <w:color w:val="0000FF"/>
                  <w:sz w:val="20"/>
                  <w:u w:val="single"/>
                </w:rPr>
                <w:t>Financial Statements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w:t>
            </w:r>
          </w:p>
        </w:tc>
      </w:tr>
      <w:tr>
        <w:trPr/>
        <w:tc>
          <w:tcPr>
            <w:tcW w:w="1233" w:type="dxa"/>
            <w:tcBorders/>
            <w:tcMar>
              <w:top w:w="0" w:type="dxa"/>
              <w:left w:w="0" w:type="dxa"/>
              <w:bottom w:w="0" w:type="dxa"/>
              <w:right w:w="0" w:type="dxa"/>
            </w:tcMar>
            <w:vAlign w:val="center"/>
          </w:tcPr>
          <w:p>
            <w:pPr>
              <w:pStyle w:val="TableContents"/>
              <w:bidi w:val="0"/>
              <w:spacing w:before="0" w:after="283"/>
              <w:ind w:left="0" w:right="0" w:firstLine="492"/>
              <w:jc w:val="left"/>
              <w:rPr/>
            </w:pPr>
            <w:r>
              <w:rPr/>
              <w:t> </w:t>
            </w:r>
          </w:p>
        </w:tc>
        <w:tc>
          <w:tcPr>
            <w:tcW w:w="8460"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condensed_consolidated_balance_sheets">
              <w:r>
                <w:rPr>
                  <w:rStyle w:val="InternetLink"/>
                  <w:rFonts w:ascii="Times New Roman" w:hAnsi="Times New Roman"/>
                  <w:color w:val="0000FF"/>
                  <w:sz w:val="20"/>
                  <w:u w:val="single"/>
                </w:rPr>
                <w:t>Condensed Consolidated Balance Sheet as of March 31, 2026 (unaudited) and December 31, 2025</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w:t>
            </w:r>
          </w:p>
        </w:tc>
      </w:tr>
      <w:tr>
        <w:trPr/>
        <w:tc>
          <w:tcPr>
            <w:tcW w:w="1233" w:type="dxa"/>
            <w:tcBorders/>
            <w:tcMar>
              <w:top w:w="0" w:type="dxa"/>
              <w:left w:w="0" w:type="dxa"/>
              <w:bottom w:w="0" w:type="dxa"/>
              <w:right w:w="0" w:type="dxa"/>
            </w:tcMar>
            <w:vAlign w:val="center"/>
          </w:tcPr>
          <w:p>
            <w:pPr>
              <w:pStyle w:val="TableContents"/>
              <w:bidi w:val="0"/>
              <w:spacing w:before="0" w:after="283"/>
              <w:ind w:left="0" w:right="0" w:firstLine="492"/>
              <w:jc w:val="left"/>
              <w:rPr/>
            </w:pPr>
            <w:r>
              <w:rPr/>
              <w:t> </w:t>
            </w:r>
          </w:p>
        </w:tc>
        <w:tc>
          <w:tcPr>
            <w:tcW w:w="8460"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condensed_consolidated_statements_operat">
              <w:r>
                <w:rPr>
                  <w:rStyle w:val="InternetLink"/>
                  <w:rFonts w:ascii="Times New Roman" w:hAnsi="Times New Roman"/>
                  <w:color w:val="0000FF"/>
                  <w:sz w:val="20"/>
                  <w:u w:val="single"/>
                </w:rPr>
                <w:t>Condensed Consolidated Statement of Operations and Comprehensive Loss (unaudited) for the three months ended March 31, 2026 and</w:t>
              </w:r>
            </w:hyperlink>
            <w:hyperlink w:anchor="condensed_consolidated_statements_operat">
              <w:r>
                <w:rPr>
                  <w:rStyle w:val="InternetLink"/>
                  <w:rFonts w:ascii="Times New Roman" w:hAnsi="Times New Roman"/>
                  <w:color w:val="0000FF"/>
                  <w:sz w:val="20"/>
                </w:rPr>
                <w:t xml:space="preserve"> </w:t>
              </w:r>
            </w:hyperlink>
            <w:r>
              <w:rPr>
                <w:rFonts w:ascii="Times New Roman" w:hAnsi="Times New Roman"/>
                <w:color w:val="0000FF"/>
                <w:sz w:val="20"/>
                <w:u w:val="single"/>
              </w:rPr>
              <w:t>2025</w:t>
            </w:r>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w:t>
            </w:r>
          </w:p>
        </w:tc>
      </w:tr>
      <w:tr>
        <w:trPr/>
        <w:tc>
          <w:tcPr>
            <w:tcW w:w="1233" w:type="dxa"/>
            <w:tcBorders/>
            <w:tcMar>
              <w:top w:w="0" w:type="dxa"/>
              <w:left w:w="0" w:type="dxa"/>
              <w:bottom w:w="0" w:type="dxa"/>
              <w:right w:w="0" w:type="dxa"/>
            </w:tcMar>
            <w:vAlign w:val="center"/>
          </w:tcPr>
          <w:p>
            <w:pPr>
              <w:pStyle w:val="TableContents"/>
              <w:bidi w:val="0"/>
              <w:spacing w:before="0" w:after="283"/>
              <w:ind w:left="0" w:right="0" w:firstLine="492"/>
              <w:jc w:val="left"/>
              <w:rPr/>
            </w:pPr>
            <w:r>
              <w:rPr/>
              <w:t> </w:t>
            </w:r>
          </w:p>
        </w:tc>
        <w:tc>
          <w:tcPr>
            <w:tcW w:w="8460"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condensed_consolidated_equity">
              <w:r>
                <w:rPr>
                  <w:rStyle w:val="InternetLink"/>
                  <w:rFonts w:ascii="Times New Roman" w:hAnsi="Times New Roman"/>
                  <w:color w:val="0000FF"/>
                  <w:sz w:val="20"/>
                  <w:u w:val="single"/>
                </w:rPr>
                <w:t>Condensed Consolidated Statement of Stockholders’ Equity (unaudited) for the three months ended March 31, 2026 and 2025</w:t>
              </w:r>
            </w:hyperlink>
            <w:hyperlink w:anchor="condensed_consolidated_equity">
              <w:r>
                <w:rPr>
                  <w:rStyle w:val="InternetLink"/>
                  <w:rFonts w:ascii="Times New Roman" w:hAnsi="Times New Roman"/>
                  <w:color w:val="0000FF"/>
                  <w:sz w:val="20"/>
                </w:rPr>
                <w:t xml:space="preserve"> </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w:t>
            </w:r>
          </w:p>
        </w:tc>
      </w:tr>
      <w:tr>
        <w:trPr/>
        <w:tc>
          <w:tcPr>
            <w:tcW w:w="1233" w:type="dxa"/>
            <w:tcBorders/>
            <w:tcMar>
              <w:top w:w="0" w:type="dxa"/>
              <w:left w:w="0" w:type="dxa"/>
              <w:bottom w:w="0" w:type="dxa"/>
              <w:right w:w="0" w:type="dxa"/>
            </w:tcMar>
            <w:vAlign w:val="center"/>
          </w:tcPr>
          <w:p>
            <w:pPr>
              <w:pStyle w:val="TableContents"/>
              <w:bidi w:val="0"/>
              <w:spacing w:before="0" w:after="283"/>
              <w:ind w:left="0" w:right="0" w:firstLine="492"/>
              <w:jc w:val="left"/>
              <w:rPr/>
            </w:pPr>
            <w:r>
              <w:rPr/>
              <w:t> </w:t>
            </w:r>
          </w:p>
        </w:tc>
        <w:tc>
          <w:tcPr>
            <w:tcW w:w="8460"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condensed_consolidated_statements_cash_f">
              <w:r>
                <w:rPr>
                  <w:rStyle w:val="InternetLink"/>
                  <w:rFonts w:ascii="Times New Roman" w:hAnsi="Times New Roman"/>
                  <w:color w:val="0000FF"/>
                  <w:sz w:val="20"/>
                  <w:u w:val="single"/>
                </w:rPr>
                <w:t>Condensed Consolidated Statement of Cash Flows (unaudited) for the three months ended March 31, 2026 and 2025</w:t>
              </w:r>
            </w:hyperlink>
            <w:hyperlink w:anchor="condensed_consolidated_statements_cash_f">
              <w:r>
                <w:rPr>
                  <w:rStyle w:val="InternetLink"/>
                  <w:rFonts w:ascii="Times New Roman" w:hAnsi="Times New Roman"/>
                  <w:color w:val="0000FF"/>
                  <w:sz w:val="20"/>
                </w:rPr>
                <w:t xml:space="preserve"> </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w:t>
            </w:r>
          </w:p>
        </w:tc>
      </w:tr>
      <w:tr>
        <w:trPr/>
        <w:tc>
          <w:tcPr>
            <w:tcW w:w="1233" w:type="dxa"/>
            <w:tcBorders/>
            <w:tcMar>
              <w:top w:w="0" w:type="dxa"/>
              <w:left w:w="0" w:type="dxa"/>
              <w:bottom w:w="0" w:type="dxa"/>
              <w:right w:w="0" w:type="dxa"/>
            </w:tcMar>
            <w:vAlign w:val="center"/>
          </w:tcPr>
          <w:p>
            <w:pPr>
              <w:pStyle w:val="TableContents"/>
              <w:bidi w:val="0"/>
              <w:spacing w:before="0" w:after="283"/>
              <w:ind w:left="0" w:right="0" w:firstLine="492"/>
              <w:jc w:val="left"/>
              <w:rPr>
                <w:sz w:val="4"/>
                <w:szCs w:val="4"/>
              </w:rPr>
            </w:pPr>
            <w:r>
              <w:rPr>
                <w:sz w:val="4"/>
                <w:szCs w:val="4"/>
              </w:rPr>
            </w:r>
          </w:p>
        </w:tc>
        <w:tc>
          <w:tcPr>
            <w:tcW w:w="8460"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notes_to_condensed_consolidated_financia">
              <w:r>
                <w:rPr>
                  <w:rStyle w:val="InternetLink"/>
                  <w:rFonts w:ascii="Times New Roman" w:hAnsi="Times New Roman"/>
                  <w:color w:val="0000FF"/>
                  <w:sz w:val="20"/>
                  <w:u w:val="single"/>
                </w:rPr>
                <w:t>Notes to the Unaudited Condensed Consolidated Financial Statements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w:t>
            </w:r>
          </w:p>
        </w:tc>
      </w:tr>
      <w:tr>
        <w:trPr/>
        <w:tc>
          <w:tcPr>
            <w:tcW w:w="1233" w:type="dxa"/>
            <w:tcBorders/>
            <w:tcMar>
              <w:top w:w="0" w:type="dxa"/>
              <w:left w:w="0" w:type="dxa"/>
              <w:bottom w:w="0" w:type="dxa"/>
              <w:right w:w="0" w:type="dxa"/>
            </w:tcMar>
            <w:vAlign w:val="center"/>
          </w:tcPr>
          <w:p>
            <w:pPr>
              <w:pStyle w:val="TableContents"/>
              <w:bidi w:val="0"/>
              <w:spacing w:before="0" w:after="283"/>
              <w:ind w:left="0" w:right="0" w:firstLine="492"/>
              <w:jc w:val="left"/>
              <w:rPr>
                <w:rFonts w:ascii="Times New Roman" w:hAnsi="Times New Roman"/>
                <w:color w:val="000000"/>
                <w:sz w:val="20"/>
              </w:rPr>
            </w:pPr>
            <w:r>
              <w:rPr>
                <w:rFonts w:ascii="Times New Roman" w:hAnsi="Times New Roman"/>
                <w:color w:val="000000"/>
                <w:sz w:val="20"/>
              </w:rPr>
              <w:t>Item 2</w:t>
            </w:r>
          </w:p>
        </w:tc>
        <w:tc>
          <w:tcPr>
            <w:tcW w:w="8460"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item_2_managements_discussion_analysis_1">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17</w:t>
            </w:r>
          </w:p>
        </w:tc>
      </w:tr>
      <w:tr>
        <w:trPr/>
        <w:tc>
          <w:tcPr>
            <w:tcW w:w="1233" w:type="dxa"/>
            <w:tcBorders/>
            <w:tcMar>
              <w:top w:w="0" w:type="dxa"/>
              <w:left w:w="0" w:type="dxa"/>
              <w:bottom w:w="0" w:type="dxa"/>
              <w:right w:w="0" w:type="dxa"/>
            </w:tcMar>
            <w:vAlign w:val="center"/>
          </w:tcPr>
          <w:p>
            <w:pPr>
              <w:pStyle w:val="TableContents"/>
              <w:bidi w:val="0"/>
              <w:spacing w:before="0" w:after="283"/>
              <w:ind w:left="0" w:right="0" w:firstLine="492"/>
              <w:jc w:val="left"/>
              <w:rPr>
                <w:rFonts w:ascii="Times New Roman" w:hAnsi="Times New Roman"/>
                <w:color w:val="000000"/>
                <w:sz w:val="20"/>
              </w:rPr>
            </w:pPr>
            <w:r>
              <w:rPr>
                <w:rFonts w:ascii="Times New Roman" w:hAnsi="Times New Roman"/>
                <w:color w:val="000000"/>
                <w:sz w:val="20"/>
              </w:rPr>
              <w:t>Item 3.</w:t>
            </w:r>
          </w:p>
        </w:tc>
        <w:tc>
          <w:tcPr>
            <w:tcW w:w="8460"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item_3_qualitative_quantitative_disclosu">
              <w:r>
                <w:rPr>
                  <w:rStyle w:val="InternetLink"/>
                  <w:rFonts w:ascii="Times New Roman" w:hAnsi="Times New Roman"/>
                  <w:color w:val="0000FF"/>
                  <w:sz w:val="20"/>
                  <w:u w:val="single"/>
                </w:rPr>
                <w:t>Quantitative and Qualitative Disclosures About Market Risk</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27</w:t>
            </w:r>
          </w:p>
        </w:tc>
      </w:tr>
      <w:tr>
        <w:trPr/>
        <w:tc>
          <w:tcPr>
            <w:tcW w:w="1233" w:type="dxa"/>
            <w:tcBorders/>
            <w:tcMar>
              <w:top w:w="0" w:type="dxa"/>
              <w:left w:w="0" w:type="dxa"/>
              <w:bottom w:w="0" w:type="dxa"/>
              <w:right w:w="0" w:type="dxa"/>
            </w:tcMar>
            <w:vAlign w:val="center"/>
          </w:tcPr>
          <w:p>
            <w:pPr>
              <w:pStyle w:val="TableContents"/>
              <w:bidi w:val="0"/>
              <w:spacing w:before="0" w:after="283"/>
              <w:ind w:left="0" w:right="0" w:firstLine="492"/>
              <w:jc w:val="left"/>
              <w:rPr>
                <w:rFonts w:ascii="Times New Roman" w:hAnsi="Times New Roman"/>
                <w:color w:val="000000"/>
                <w:sz w:val="20"/>
              </w:rPr>
            </w:pPr>
            <w:r>
              <w:rPr>
                <w:rFonts w:ascii="Times New Roman" w:hAnsi="Times New Roman"/>
                <w:color w:val="000000"/>
                <w:sz w:val="20"/>
              </w:rPr>
              <w:t>Item 4.</w:t>
            </w:r>
          </w:p>
        </w:tc>
        <w:tc>
          <w:tcPr>
            <w:tcW w:w="8460"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item_4_controls_procedures">
              <w:r>
                <w:rPr>
                  <w:rStyle w:val="InternetLink"/>
                  <w:rFonts w:ascii="Times New Roman" w:hAnsi="Times New Roman"/>
                  <w:color w:val="0000FF"/>
                  <w:sz w:val="20"/>
                  <w:u w:val="single"/>
                </w:rPr>
                <w:t>Controls and Procedures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28</w:t>
            </w:r>
          </w:p>
        </w:tc>
      </w:tr>
      <w:tr>
        <w:trPr/>
        <w:tc>
          <w:tcPr>
            <w:tcW w:w="1233" w:type="dxa"/>
            <w:tcBorders/>
            <w:tcMar>
              <w:top w:w="0" w:type="dxa"/>
              <w:left w:w="0" w:type="dxa"/>
              <w:bottom w:w="0" w:type="dxa"/>
              <w:right w:w="0" w:type="dxa"/>
            </w:tcMar>
            <w:vAlign w:val="center"/>
          </w:tcPr>
          <w:p>
            <w:pPr>
              <w:pStyle w:val="TableContents"/>
              <w:bidi w:val="0"/>
              <w:spacing w:before="0" w:after="283"/>
              <w:ind w:left="0" w:right="0" w:firstLine="492"/>
              <w:jc w:val="left"/>
              <w:rPr>
                <w:rFonts w:ascii="Times New Roman" w:hAnsi="Times New Roman"/>
                <w:color w:val="000000"/>
                <w:sz w:val="20"/>
              </w:rPr>
            </w:pPr>
            <w:r>
              <w:rPr>
                <w:rFonts w:ascii="Times New Roman" w:hAnsi="Times New Roman"/>
                <w:color w:val="000000"/>
                <w:sz w:val="20"/>
              </w:rPr>
              <w:t>PART II</w:t>
            </w:r>
          </w:p>
        </w:tc>
        <w:tc>
          <w:tcPr>
            <w:tcW w:w="8460"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part_ii_or_information">
              <w:r>
                <w:rPr>
                  <w:rStyle w:val="InternetLink"/>
                  <w:rFonts w:ascii="Times New Roman" w:hAnsi="Times New Roman"/>
                  <w:color w:val="0000FF"/>
                  <w:sz w:val="20"/>
                  <w:u w:val="single"/>
                </w:rPr>
                <w:t>Other Information</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28</w:t>
            </w:r>
          </w:p>
        </w:tc>
      </w:tr>
      <w:tr>
        <w:trPr/>
        <w:tc>
          <w:tcPr>
            <w:tcW w:w="1233" w:type="dxa"/>
            <w:tcBorders/>
            <w:tcMar>
              <w:top w:w="0" w:type="dxa"/>
              <w:left w:w="0" w:type="dxa"/>
              <w:bottom w:w="0" w:type="dxa"/>
              <w:right w:w="0" w:type="dxa"/>
            </w:tcMar>
            <w:vAlign w:val="center"/>
          </w:tcPr>
          <w:p>
            <w:pPr>
              <w:pStyle w:val="TableContents"/>
              <w:bidi w:val="0"/>
              <w:spacing w:before="0" w:after="283"/>
              <w:ind w:left="0" w:right="0" w:firstLine="492"/>
              <w:jc w:val="left"/>
              <w:rPr>
                <w:rFonts w:ascii="Times New Roman" w:hAnsi="Times New Roman"/>
                <w:color w:val="000000"/>
                <w:sz w:val="20"/>
              </w:rPr>
            </w:pPr>
            <w:r>
              <w:rPr>
                <w:rFonts w:ascii="Times New Roman" w:hAnsi="Times New Roman"/>
                <w:color w:val="000000"/>
                <w:sz w:val="20"/>
              </w:rPr>
              <w:t>Item 1.</w:t>
            </w:r>
          </w:p>
        </w:tc>
        <w:tc>
          <w:tcPr>
            <w:tcW w:w="8460"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28</w:t>
            </w:r>
          </w:p>
        </w:tc>
      </w:tr>
      <w:tr>
        <w:trPr/>
        <w:tc>
          <w:tcPr>
            <w:tcW w:w="1233" w:type="dxa"/>
            <w:tcBorders/>
            <w:tcMar>
              <w:top w:w="0" w:type="dxa"/>
              <w:left w:w="0" w:type="dxa"/>
              <w:bottom w:w="0" w:type="dxa"/>
              <w:right w:w="0" w:type="dxa"/>
            </w:tcMar>
            <w:vAlign w:val="center"/>
          </w:tcPr>
          <w:p>
            <w:pPr>
              <w:pStyle w:val="TableContents"/>
              <w:bidi w:val="0"/>
              <w:spacing w:before="0" w:after="283"/>
              <w:ind w:left="0" w:right="0" w:firstLine="492"/>
              <w:jc w:val="left"/>
              <w:rPr>
                <w:rFonts w:ascii="Times New Roman" w:hAnsi="Times New Roman"/>
                <w:color w:val="000000"/>
                <w:sz w:val="20"/>
              </w:rPr>
            </w:pPr>
            <w:r>
              <w:rPr>
                <w:rFonts w:ascii="Times New Roman" w:hAnsi="Times New Roman"/>
                <w:color w:val="000000"/>
                <w:sz w:val="20"/>
              </w:rPr>
              <w:t>Item 1A.</w:t>
            </w:r>
          </w:p>
        </w:tc>
        <w:tc>
          <w:tcPr>
            <w:tcW w:w="8460"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item_1a_risk_factors">
              <w:r>
                <w:rPr>
                  <w:rStyle w:val="InternetLink"/>
                  <w:rFonts w:ascii="Times New Roman" w:hAnsi="Times New Roman"/>
                  <w:color w:val="0000FF"/>
                  <w:sz w:val="20"/>
                  <w:u w:val="single"/>
                </w:rPr>
                <w:t>Risk Factors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28</w:t>
            </w:r>
          </w:p>
        </w:tc>
      </w:tr>
      <w:tr>
        <w:trPr/>
        <w:tc>
          <w:tcPr>
            <w:tcW w:w="1233" w:type="dxa"/>
            <w:tcBorders/>
            <w:tcMar>
              <w:top w:w="0" w:type="dxa"/>
              <w:left w:w="0" w:type="dxa"/>
              <w:bottom w:w="0" w:type="dxa"/>
              <w:right w:w="0" w:type="dxa"/>
            </w:tcMar>
            <w:vAlign w:val="center"/>
          </w:tcPr>
          <w:p>
            <w:pPr>
              <w:pStyle w:val="TableContents"/>
              <w:bidi w:val="0"/>
              <w:spacing w:before="0" w:after="283"/>
              <w:ind w:left="0" w:right="0" w:firstLine="492"/>
              <w:jc w:val="left"/>
              <w:rPr>
                <w:rFonts w:ascii="Times New Roman" w:hAnsi="Times New Roman"/>
                <w:color w:val="000000"/>
                <w:sz w:val="20"/>
              </w:rPr>
            </w:pPr>
            <w:r>
              <w:rPr>
                <w:rFonts w:ascii="Times New Roman" w:hAnsi="Times New Roman"/>
                <w:color w:val="000000"/>
                <w:sz w:val="20"/>
              </w:rPr>
              <w:t>Item 2.</w:t>
            </w:r>
          </w:p>
        </w:tc>
        <w:tc>
          <w:tcPr>
            <w:tcW w:w="8460"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28</w:t>
            </w:r>
          </w:p>
        </w:tc>
      </w:tr>
      <w:tr>
        <w:trPr/>
        <w:tc>
          <w:tcPr>
            <w:tcW w:w="1233" w:type="dxa"/>
            <w:tcBorders/>
            <w:tcMar>
              <w:top w:w="0" w:type="dxa"/>
              <w:left w:w="0" w:type="dxa"/>
              <w:bottom w:w="0" w:type="dxa"/>
              <w:right w:w="0" w:type="dxa"/>
            </w:tcMar>
            <w:vAlign w:val="center"/>
          </w:tcPr>
          <w:p>
            <w:pPr>
              <w:pStyle w:val="TableContents"/>
              <w:bidi w:val="0"/>
              <w:spacing w:before="0" w:after="283"/>
              <w:ind w:left="0" w:right="0" w:firstLine="492"/>
              <w:jc w:val="left"/>
              <w:rPr>
                <w:rFonts w:ascii="Times New Roman" w:hAnsi="Times New Roman"/>
                <w:color w:val="000000"/>
                <w:sz w:val="20"/>
              </w:rPr>
            </w:pPr>
            <w:r>
              <w:rPr>
                <w:rFonts w:ascii="Times New Roman" w:hAnsi="Times New Roman"/>
                <w:color w:val="000000"/>
                <w:sz w:val="20"/>
              </w:rPr>
              <w:t>Item 3.</w:t>
            </w:r>
          </w:p>
        </w:tc>
        <w:tc>
          <w:tcPr>
            <w:tcW w:w="8460"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29</w:t>
            </w:r>
          </w:p>
        </w:tc>
      </w:tr>
      <w:tr>
        <w:trPr/>
        <w:tc>
          <w:tcPr>
            <w:tcW w:w="1233" w:type="dxa"/>
            <w:tcBorders/>
            <w:tcMar>
              <w:top w:w="0" w:type="dxa"/>
              <w:left w:w="0" w:type="dxa"/>
              <w:bottom w:w="0" w:type="dxa"/>
              <w:right w:w="0" w:type="dxa"/>
            </w:tcMar>
            <w:vAlign w:val="center"/>
          </w:tcPr>
          <w:p>
            <w:pPr>
              <w:pStyle w:val="TableContents"/>
              <w:bidi w:val="0"/>
              <w:spacing w:before="0" w:after="283"/>
              <w:ind w:left="0" w:right="0" w:firstLine="492"/>
              <w:jc w:val="left"/>
              <w:rPr>
                <w:rFonts w:ascii="Times New Roman" w:hAnsi="Times New Roman"/>
                <w:color w:val="000000"/>
                <w:sz w:val="20"/>
              </w:rPr>
            </w:pPr>
            <w:r>
              <w:rPr>
                <w:rFonts w:ascii="Times New Roman" w:hAnsi="Times New Roman"/>
                <w:color w:val="000000"/>
                <w:sz w:val="20"/>
              </w:rPr>
              <w:t>Item 4.</w:t>
            </w:r>
          </w:p>
        </w:tc>
        <w:tc>
          <w:tcPr>
            <w:tcW w:w="8460"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29</w:t>
            </w:r>
          </w:p>
        </w:tc>
      </w:tr>
      <w:tr>
        <w:trPr/>
        <w:tc>
          <w:tcPr>
            <w:tcW w:w="1233" w:type="dxa"/>
            <w:tcBorders/>
            <w:tcMar>
              <w:top w:w="0" w:type="dxa"/>
              <w:left w:w="0" w:type="dxa"/>
              <w:bottom w:w="0" w:type="dxa"/>
              <w:right w:w="0" w:type="dxa"/>
            </w:tcMar>
            <w:vAlign w:val="center"/>
          </w:tcPr>
          <w:p>
            <w:pPr>
              <w:pStyle w:val="TableContents"/>
              <w:bidi w:val="0"/>
              <w:spacing w:before="0" w:after="283"/>
              <w:ind w:left="0" w:right="0" w:firstLine="492"/>
              <w:jc w:val="left"/>
              <w:rPr>
                <w:rFonts w:ascii="Times New Roman" w:hAnsi="Times New Roman"/>
                <w:color w:val="000000"/>
                <w:sz w:val="20"/>
              </w:rPr>
            </w:pPr>
            <w:r>
              <w:rPr>
                <w:rFonts w:ascii="Times New Roman" w:hAnsi="Times New Roman"/>
                <w:color w:val="000000"/>
                <w:sz w:val="20"/>
              </w:rPr>
              <w:t>Item 5.</w:t>
            </w:r>
          </w:p>
        </w:tc>
        <w:tc>
          <w:tcPr>
            <w:tcW w:w="8460"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item_5_or_information">
              <w:r>
                <w:rPr>
                  <w:rStyle w:val="InternetLink"/>
                  <w:rFonts w:ascii="Times New Roman" w:hAnsi="Times New Roman"/>
                  <w:color w:val="0000FF"/>
                  <w:sz w:val="20"/>
                  <w:u w:val="single"/>
                </w:rPr>
                <w:t>Other Information</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29</w:t>
            </w:r>
          </w:p>
        </w:tc>
      </w:tr>
      <w:tr>
        <w:trPr/>
        <w:tc>
          <w:tcPr>
            <w:tcW w:w="1233" w:type="dxa"/>
            <w:tcBorders/>
            <w:tcMar>
              <w:top w:w="0" w:type="dxa"/>
              <w:left w:w="0" w:type="dxa"/>
              <w:bottom w:w="0" w:type="dxa"/>
              <w:right w:w="0" w:type="dxa"/>
            </w:tcMar>
            <w:vAlign w:val="center"/>
          </w:tcPr>
          <w:p>
            <w:pPr>
              <w:pStyle w:val="TableContents"/>
              <w:bidi w:val="0"/>
              <w:spacing w:before="0" w:after="283"/>
              <w:ind w:left="0" w:right="0" w:firstLine="492"/>
              <w:jc w:val="left"/>
              <w:rPr>
                <w:rFonts w:ascii="Times New Roman" w:hAnsi="Times New Roman"/>
                <w:color w:val="000000"/>
                <w:sz w:val="20"/>
              </w:rPr>
            </w:pPr>
            <w:r>
              <w:rPr>
                <w:rFonts w:ascii="Times New Roman" w:hAnsi="Times New Roman"/>
                <w:color w:val="000000"/>
                <w:sz w:val="20"/>
              </w:rPr>
              <w:t>Item 6.</w:t>
            </w:r>
          </w:p>
        </w:tc>
        <w:tc>
          <w:tcPr>
            <w:tcW w:w="8460"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item_6_exhibits">
              <w:r>
                <w:rPr>
                  <w:rStyle w:val="InternetLink"/>
                  <w:rFonts w:ascii="Times New Roman" w:hAnsi="Times New Roman"/>
                  <w:color w:val="0000FF"/>
                  <w:sz w:val="20"/>
                  <w:u w:val="single"/>
                </w:rPr>
                <w:t>Exhibits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29</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 w:name="part_i_financial_information"/>
      <w:bookmarkEnd w:id="2"/>
      <w:r>
        <w:rPr>
          <w:rFonts w:ascii="Times New Roman" w:hAnsi="Times New Roman"/>
          <w:b/>
          <w:color w:val="000000"/>
          <w:sz w:val="20"/>
        </w:rPr>
        <w:t>PART I - FINANCIAL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AMERICAN WELL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5959"/>
        <w:gridCol w:w="146"/>
        <w:gridCol w:w="241"/>
        <w:gridCol w:w="1139"/>
        <w:gridCol w:w="166"/>
        <w:gridCol w:w="146"/>
        <w:gridCol w:w="279"/>
        <w:gridCol w:w="1315"/>
        <w:gridCol w:w="814"/>
      </w:tblGrid>
      <w:tr>
        <w:trPr/>
        <w:tc>
          <w:tcPr>
            <w:tcW w:w="5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59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December 31, 2025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179,207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182,328</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Accounts receivable ($819</w:t>
            </w:r>
            <w:r>
              <w:rPr>
                <w:rFonts w:ascii="Times New Roman" w:hAnsi="Times New Roman"/>
                <w:color w:val="000000"/>
                <w:sz w:val="20"/>
              </w:rPr>
              <w:t> </w:t>
            </w:r>
            <w:r>
              <w:rPr>
                <w:rFonts w:ascii="Times New Roman" w:hAnsi="Times New Roman"/>
                <w:color w:val="000000"/>
                <w:sz w:val="19"/>
              </w:rPr>
              <w:t>and $955, from related parties and net of</w:t>
              <w:br/>
              <w:t>   allowances of $10,992</w:t>
            </w:r>
            <w:r>
              <w:rPr>
                <w:rFonts w:ascii="Times New Roman" w:hAnsi="Times New Roman"/>
                <w:color w:val="000000"/>
                <w:sz w:val="20"/>
              </w:rPr>
              <w:t> </w:t>
            </w:r>
            <w:r>
              <w:rPr>
                <w:rFonts w:ascii="Times New Roman" w:hAnsi="Times New Roman"/>
                <w:color w:val="000000"/>
                <w:sz w:val="19"/>
              </w:rPr>
              <w:t>and $9,463,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49,693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1,187</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contract acquisition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2,660</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10,813</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5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259,050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246,681</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795</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225</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66,073</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3,930</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contract acquisition costs,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4,459</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1,624</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5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325,967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323,787</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1,649</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45,308</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liability,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3,632</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Deferred revenue ($65</w:t>
            </w:r>
            <w:r>
              <w:rPr>
                <w:rFonts w:ascii="Times New Roman" w:hAnsi="Times New Roman"/>
                <w:color w:val="000000"/>
                <w:sz w:val="20"/>
              </w:rPr>
              <w:t> </w:t>
            </w:r>
            <w:r>
              <w:rPr>
                <w:rFonts w:ascii="Times New Roman" w:hAnsi="Times New Roman"/>
                <w:color w:val="000000"/>
                <w:sz w:val="19"/>
              </w:rPr>
              <w:t>and $113</w:t>
            </w:r>
            <w:r>
              <w:rPr>
                <w:rFonts w:ascii="Times New Roman" w:hAnsi="Times New Roman"/>
                <w:color w:val="000000"/>
                <w:sz w:val="20"/>
              </w:rPr>
              <w:t> </w:t>
            </w:r>
            <w:r>
              <w:rPr>
                <w:rFonts w:ascii="Times New Roman" w:hAnsi="Times New Roman"/>
                <w:color w:val="000000"/>
                <w:sz w:val="19"/>
              </w:rPr>
              <w:t>from related parties,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29,660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22,625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5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83,773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73,214</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1,075</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892</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revenue,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818</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5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85,845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75,999</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Commitments and contingencies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Preferred stock, $0.01</w:t>
            </w:r>
            <w:r>
              <w:rPr>
                <w:rFonts w:ascii="Times New Roman" w:hAnsi="Times New Roman"/>
                <w:color w:val="000000"/>
                <w:sz w:val="20"/>
              </w:rPr>
              <w:t> </w:t>
            </w:r>
            <w:r>
              <w:rPr>
                <w:rFonts w:ascii="Times New Roman" w:hAnsi="Times New Roman"/>
                <w:color w:val="000000"/>
                <w:sz w:val="19"/>
              </w:rPr>
              <w:t>par value; 100,000,000</w:t>
            </w:r>
            <w:r>
              <w:rPr>
                <w:rFonts w:ascii="Times New Roman" w:hAnsi="Times New Roman"/>
                <w:color w:val="000000"/>
                <w:sz w:val="20"/>
              </w:rPr>
              <w:t> </w:t>
            </w:r>
            <w:r>
              <w:rPr>
                <w:rFonts w:ascii="Times New Roman" w:hAnsi="Times New Roman"/>
                <w:color w:val="000000"/>
                <w:sz w:val="19"/>
              </w:rPr>
              <w:t>shares authorized, no</w:t>
            </w:r>
            <w:r>
              <w:rPr>
                <w:rFonts w:ascii="Times New Roman" w:hAnsi="Times New Roman"/>
                <w:color w:val="000000"/>
                <w:sz w:val="20"/>
              </w:rPr>
              <w:t> </w:t>
            </w:r>
            <w:r>
              <w:rPr>
                <w:rFonts w:ascii="Times New Roman" w:hAnsi="Times New Roman"/>
                <w:color w:val="000000"/>
                <w:sz w:val="19"/>
              </w:rPr>
              <w:t xml:space="preserve">shares issued </w:t>
              <w:br/>
              <w:t>   or outstanding as of March 31, 2026 and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Common stock, $0.01</w:t>
            </w:r>
            <w:r>
              <w:rPr>
                <w:rFonts w:ascii="Times New Roman" w:hAnsi="Times New Roman"/>
                <w:color w:val="000000"/>
                <w:sz w:val="20"/>
              </w:rPr>
              <w:t> </w:t>
            </w:r>
            <w:r>
              <w:rPr>
                <w:rFonts w:ascii="Times New Roman" w:hAnsi="Times New Roman"/>
                <w:color w:val="000000"/>
                <w:sz w:val="19"/>
              </w:rPr>
              <w:t>par value; 1,000,000,000</w:t>
            </w:r>
            <w:r>
              <w:rPr>
                <w:rFonts w:ascii="Times New Roman" w:hAnsi="Times New Roman"/>
                <w:color w:val="000000"/>
                <w:sz w:val="20"/>
              </w:rPr>
              <w:t> </w:t>
            </w:r>
            <w:r>
              <w:rPr>
                <w:rFonts w:ascii="Times New Roman" w:hAnsi="Times New Roman"/>
                <w:color w:val="000000"/>
                <w:sz w:val="19"/>
              </w:rPr>
              <w:t>Class A shares authorized, 15,011,477</w:t>
              <w:br/>
              <w:t>   and 14,782,788</w:t>
            </w:r>
            <w:r>
              <w:rPr>
                <w:rFonts w:ascii="Times New Roman" w:hAnsi="Times New Roman"/>
                <w:color w:val="000000"/>
                <w:sz w:val="20"/>
              </w:rPr>
              <w:t> </w:t>
            </w:r>
            <w:r>
              <w:rPr>
                <w:rFonts w:ascii="Times New Roman" w:hAnsi="Times New Roman"/>
                <w:color w:val="000000"/>
                <w:sz w:val="19"/>
              </w:rPr>
              <w:t>shares issued and outstanding, respectively; 100,000,000</w:t>
            </w:r>
            <w:r>
              <w:rPr>
                <w:rFonts w:ascii="Times New Roman" w:hAnsi="Times New Roman"/>
                <w:color w:val="000000"/>
                <w:sz w:val="20"/>
              </w:rPr>
              <w:t> </w:t>
            </w:r>
            <w:r>
              <w:rPr>
                <w:rFonts w:ascii="Times New Roman" w:hAnsi="Times New Roman"/>
                <w:color w:val="000000"/>
                <w:sz w:val="19"/>
              </w:rPr>
              <w:t xml:space="preserve">Class B </w:t>
              <w:br/>
              <w:t>   shares authorized, 1,369,518</w:t>
            </w:r>
            <w:r>
              <w:rPr>
                <w:rFonts w:ascii="Times New Roman" w:hAnsi="Times New Roman"/>
                <w:color w:val="000000"/>
                <w:sz w:val="20"/>
              </w:rPr>
              <w:t> </w:t>
            </w:r>
            <w:r>
              <w:rPr>
                <w:rFonts w:ascii="Times New Roman" w:hAnsi="Times New Roman"/>
                <w:color w:val="000000"/>
                <w:sz w:val="19"/>
              </w:rPr>
              <w:t>shares issued and outstanding; 200,000,000</w:t>
            </w:r>
            <w:r>
              <w:rPr>
                <w:rFonts w:ascii="Times New Roman" w:hAnsi="Times New Roman"/>
                <w:color w:val="000000"/>
                <w:sz w:val="20"/>
              </w:rPr>
              <w:t> </w:t>
            </w:r>
            <w:r>
              <w:rPr>
                <w:rFonts w:ascii="Times New Roman" w:hAnsi="Times New Roman"/>
                <w:color w:val="000000"/>
                <w:sz w:val="19"/>
              </w:rPr>
              <w:t xml:space="preserve">Class C </w:t>
              <w:br/>
              <w:t>   shares authorized 277,777</w:t>
            </w:r>
            <w:r>
              <w:rPr>
                <w:rFonts w:ascii="Times New Roman" w:hAnsi="Times New Roman"/>
                <w:color w:val="000000"/>
                <w:sz w:val="20"/>
              </w:rPr>
              <w:t> </w:t>
            </w:r>
            <w:r>
              <w:rPr>
                <w:rFonts w:ascii="Times New Roman" w:hAnsi="Times New Roman"/>
                <w:color w:val="000000"/>
                <w:sz w:val="19"/>
              </w:rPr>
              <w:t xml:space="preserve">issued and outstanding as of March 31, 2026 and as of </w:t>
              <w:br/>
              <w: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165</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2,311,750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2,309,145</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(12,099</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59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(2,072,514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(2,061,628</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5959"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Total American Well Corporation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227,332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235,583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12,205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959"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240,122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247,788</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95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325,967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323,787</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AMERICAN WELL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statements_operat"/>
      <w:bookmarkEnd w:id="5"/>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149" w:type="dxa"/>
        <w:jc w:val="left"/>
        <w:tblInd w:w="0" w:type="dxa"/>
        <w:tblLayout w:type="fixed"/>
        <w:tblCellMar>
          <w:top w:w="28" w:type="dxa"/>
          <w:left w:w="28" w:type="dxa"/>
          <w:bottom w:w="28" w:type="dxa"/>
          <w:right w:w="28" w:type="dxa"/>
        </w:tblCellMar>
      </w:tblPr>
      <w:tblGrid>
        <w:gridCol w:w="6786"/>
        <w:gridCol w:w="146"/>
        <w:gridCol w:w="211"/>
        <w:gridCol w:w="1036"/>
        <w:gridCol w:w="166"/>
        <w:gridCol w:w="146"/>
        <w:gridCol w:w="211"/>
        <w:gridCol w:w="1036"/>
        <w:gridCol w:w="411"/>
      </w:tblGrid>
      <w:tr>
        <w:trPr/>
        <w:tc>
          <w:tcPr>
            <w:tcW w:w="6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($580 and $432 from related parties,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66,833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of revenue, excluding depreciation and 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23,192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costs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97,244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and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gain on divestiture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expense from income taxes and loss from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American Well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16,589,671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15,672,373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Comprehensive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Comprehensive loss attributable to American Well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AMERICAN WELL CORPORATION</w:t>
      </w:r>
    </w:p>
    <w:p>
      <w:pPr>
        <w:pStyle w:val="TextBody"/>
        <w:bidi w:val="0"/>
        <w:jc w:val="center"/>
        <w:rPr>
          <w:rFonts w:ascii="Times New Roman" w:hAnsi="Times New Roman"/>
          <w:b/>
          <w:color w:val="000000"/>
          <w:sz w:val="20"/>
        </w:rPr>
      </w:pPr>
      <w:bookmarkStart w:id="6" w:name="condensed_consolidated_equity"/>
      <w:bookmarkEnd w:id="6"/>
      <w:r>
        <w:rPr>
          <w:rFonts w:ascii="Times New Roman" w:hAnsi="Times New Roman"/>
          <w:b/>
          <w:color w:val="000000"/>
          <w:sz w:val="20"/>
        </w:rPr>
        <w:t>CONDENSED CONSOLIDATED STATEMENTS OF STOCKHOLDERS’ EQUITY</w:t>
      </w:r>
    </w:p>
    <w:p>
      <w:pPr>
        <w:pStyle w:val="TextBody"/>
        <w:bidi w:val="0"/>
        <w:jc w:val="center"/>
        <w:rPr>
          <w:rFonts w:ascii="Times New Roman" w:hAnsi="Times New Roman"/>
          <w:sz w:val="20"/>
        </w:rPr>
      </w:pPr>
      <w:r>
        <w:rPr>
          <w:rFonts w:ascii="Times New Roman" w:hAnsi="Times New Roman"/>
          <w:b/>
          <w:color w:val="000000"/>
          <w:sz w:val="20"/>
        </w:rPr>
        <w:t>(in thousands, except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848" w:type="dxa"/>
        <w:jc w:val="left"/>
        <w:tblInd w:w="0" w:type="dxa"/>
        <w:tblLayout w:type="fixed"/>
        <w:tblCellMar>
          <w:top w:w="28" w:type="dxa"/>
          <w:left w:w="28" w:type="dxa"/>
          <w:bottom w:w="28" w:type="dxa"/>
          <w:right w:w="28" w:type="dxa"/>
        </w:tblCellMar>
      </w:tblPr>
      <w:tblGrid>
        <w:gridCol w:w="946"/>
        <w:gridCol w:w="146"/>
        <w:gridCol w:w="146"/>
        <w:gridCol w:w="796"/>
        <w:gridCol w:w="151"/>
        <w:gridCol w:w="146"/>
        <w:gridCol w:w="216"/>
        <w:gridCol w:w="415"/>
        <w:gridCol w:w="146"/>
        <w:gridCol w:w="146"/>
        <w:gridCol w:w="181"/>
        <w:gridCol w:w="721"/>
        <w:gridCol w:w="151"/>
        <w:gridCol w:w="146"/>
        <w:gridCol w:w="263"/>
        <w:gridCol w:w="833"/>
        <w:gridCol w:w="151"/>
        <w:gridCol w:w="146"/>
        <w:gridCol w:w="181"/>
        <w:gridCol w:w="766"/>
        <w:gridCol w:w="151"/>
        <w:gridCol w:w="146"/>
        <w:gridCol w:w="218"/>
        <w:gridCol w:w="728"/>
        <w:gridCol w:w="151"/>
        <w:gridCol w:w="146"/>
        <w:gridCol w:w="276"/>
        <w:gridCol w:w="805"/>
        <w:gridCol w:w="146"/>
        <w:gridCol w:w="146"/>
        <w:gridCol w:w="218"/>
        <w:gridCol w:w="728"/>
        <w:gridCol w:w="196"/>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 xml:space="preserve">Other </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American Well</w:t>
              <w:br/>
              <w:t>Corporation</w:t>
              <w:br/>
              <w:t>Stockholders’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Balances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16,430,083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2,309,145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(12,099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(2,061,628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235,583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247,788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Vesting of restricted stock units, including units with a market condition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166,846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Shares repurchased and retired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61,939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2,304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(10,886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(10,886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(10,301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Balances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16,658,772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2,311,750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(12,071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(2,072,514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227,332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240,122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tbl>
      <w:tblPr>
        <w:tblW w:w="10848" w:type="dxa"/>
        <w:jc w:val="left"/>
        <w:tblInd w:w="0" w:type="dxa"/>
        <w:tblLayout w:type="fixed"/>
        <w:tblCellMar>
          <w:top w:w="28" w:type="dxa"/>
          <w:left w:w="28" w:type="dxa"/>
          <w:bottom w:w="28" w:type="dxa"/>
          <w:right w:w="28" w:type="dxa"/>
        </w:tblCellMar>
      </w:tblPr>
      <w:tblGrid>
        <w:gridCol w:w="946"/>
        <w:gridCol w:w="146"/>
        <w:gridCol w:w="146"/>
        <w:gridCol w:w="796"/>
        <w:gridCol w:w="151"/>
        <w:gridCol w:w="146"/>
        <w:gridCol w:w="216"/>
        <w:gridCol w:w="415"/>
        <w:gridCol w:w="146"/>
        <w:gridCol w:w="146"/>
        <w:gridCol w:w="181"/>
        <w:gridCol w:w="721"/>
        <w:gridCol w:w="151"/>
        <w:gridCol w:w="146"/>
        <w:gridCol w:w="263"/>
        <w:gridCol w:w="833"/>
        <w:gridCol w:w="151"/>
        <w:gridCol w:w="146"/>
        <w:gridCol w:w="181"/>
        <w:gridCol w:w="766"/>
        <w:gridCol w:w="151"/>
        <w:gridCol w:w="146"/>
        <w:gridCol w:w="218"/>
        <w:gridCol w:w="728"/>
        <w:gridCol w:w="151"/>
        <w:gridCol w:w="146"/>
        <w:gridCol w:w="276"/>
        <w:gridCol w:w="805"/>
        <w:gridCol w:w="146"/>
        <w:gridCol w:w="146"/>
        <w:gridCol w:w="218"/>
        <w:gridCol w:w="728"/>
        <w:gridCol w:w="196"/>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 xml:space="preserve">Other </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American Well</w:t>
              <w:br/>
              <w:t>Corporation</w:t>
              <w:br/>
              <w:t>Stockholders’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Balances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15,570,172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2,286,380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(15,840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(1,965,924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304,772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316,244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Vesting of restricted stock units, including units with a market condition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137,838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Shares repurchased and retired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77,083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7,686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(18,704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(18,704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(18,356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Balances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15,784,916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2,294,608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(16,183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(1,984,629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293,954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305,774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AMERICAN WELL CORPORATION</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196" w:type="dxa"/>
        <w:jc w:val="left"/>
        <w:tblInd w:w="0" w:type="dxa"/>
        <w:tblLayout w:type="fixed"/>
        <w:tblCellMar>
          <w:top w:w="28" w:type="dxa"/>
          <w:left w:w="28" w:type="dxa"/>
          <w:bottom w:w="28" w:type="dxa"/>
          <w:right w:w="28" w:type="dxa"/>
        </w:tblCellMar>
      </w:tblPr>
      <w:tblGrid>
        <w:gridCol w:w="6451"/>
        <w:gridCol w:w="146"/>
        <w:gridCol w:w="256"/>
        <w:gridCol w:w="949"/>
        <w:gridCol w:w="201"/>
        <w:gridCol w:w="177"/>
        <w:gridCol w:w="256"/>
        <w:gridCol w:w="949"/>
        <w:gridCol w:w="811"/>
      </w:tblGrid>
      <w:tr>
        <w:trPr/>
        <w:tc>
          <w:tcPr>
            <w:tcW w:w="6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Three Months Ended March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(10,301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(18,356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Impairment on right of 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3,424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7,593</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7,801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Provisions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2,167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Amortization of deferred contract acquisition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647</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Amortization of deferred contract fulfillment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Inventory provisions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Net gain on divestiture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(7,027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(10,713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2,304</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7,339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Loss on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(9,599</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(7,274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Deferred contract acquisition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(389</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(786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1,428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3,367</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(8,978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7,261</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(983</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(25,108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Capitalized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(2,781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divestiture, net of cash divested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20,400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(2,786</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19,391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303</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Payments for the purchase of 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303</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543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Effect of exchange rates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9"/>
              </w:rPr>
            </w:pPr>
            <w:r>
              <w:rPr>
                <w:rFonts w:ascii="Times New Roman" w:hAnsi="Times New Roman"/>
                <w:b/>
                <w:color w:val="000000"/>
                <w:sz w:val="19"/>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(3,121</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(5,905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183,123</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229,111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180,002</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223,206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179,207</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222,411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795</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Total 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180,002</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223,206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223</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827</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AMERICAN WELL CORPORATION</w:t>
      </w:r>
    </w:p>
    <w:p>
      <w:pPr>
        <w:pStyle w:val="TextBody"/>
        <w:bidi w:val="0"/>
        <w:jc w:val="center"/>
        <w:rPr>
          <w:rFonts w:ascii="Times New Roman" w:hAnsi="Times New Roman"/>
          <w:sz w:val="20"/>
        </w:rPr>
      </w:pPr>
      <w:bookmarkStart w:id="8" w:name="notes_to_condensed_consolidated_financia"/>
      <w:bookmarkEnd w:id="8"/>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 and 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American Well Corporation (the “Company”) was incorporated under the laws of the State of Delaware in June 2006. The Company is headquartered in Boston, Massachusetts. The Company is a leading enterprise software company enabling digital delivery of care for healthcare’s key stakeholders. The Company empowers our clients with the core technology and services necessary to successfully develop and distribute virtual care programs that meet their strategic, operational, financial and clinical objectives under their own brands.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material changes to the significant accounting policies described in the Company’s Form 10-K for the fiscal year ended December 31, 2025, that have had a material impact on the consolidated financial statements and related notes. </w:t>
      </w:r>
    </w:p>
    <w:p>
      <w:pPr>
        <w:pStyle w:val="TextBody"/>
        <w:bidi w:val="0"/>
        <w:spacing w:before="36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generally accepted accounting principles in the United States of America (“GAAP”) and applicable rules and regulations of the Securities and Exchange Commission (the “SEC”) regarding interim financial reporting. In the opinion of the Company’s management, the accompanying unaudited condensed consolidated financial statements contain all adjustments (consisting of normal recurring accruals and adjustments) necessary for the fair statement of the Company’s financial position, results of operations and cash flows at the dates and for the periods indicated. The interim results for the three months ended March 31, 2026 are not necessarily indicative of results for the full 2026 calendar year or any other future interim periods. The information included in the interim financial statements should be read in conjunction with the annual consolidated financial statements and accompanying notes included in the Form 10-K.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unaudited condensed consolidated financial statements include the accounts of American Well Corporation, its wholly-owned subsidiaries, those of professional corporations, which represent variable interest entities in which American Well has an interest and is the primary beneficiary (“PC”), and National Telehealth Network (“NTN”), an entity in which American Well controls fifty percent or more of the voting shares. Intercompany accounts and transactions have been eliminated in consolidation.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reporting currency is the U.S. dollar. The Company determines the functional currency of each subsidiary based on the currency of the primary economic environment in which each subsidiary operates. Items included in the financial statements of such subsidiaries are measured using that functional currency. Foreign currency denominated monetary assets and liabilities are remeasured into U.S. dollars at current exchange rates and foreign currency denominated nonmonetary assets and liabilities are remeasured into U.S. dollars at historical exchange rates. Gains or losses from foreign currency remeasurement and settlements are included in interest income and other income (expense), net in the condensed consolidated statements of operations and comprehensive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consolidated entities where American Well owns or is exposed to less than 100% of the economics, the net loss attributable to noncontrolling interests is recorded in the condensed consolidated statements of operations and comprehensive loss equal to the percentage of the economic or ownership interest retained in each entity by the respective non-controlling party. The noncontrolling interests are presented as a separate component of stockholders’ equity in the condensed consolidated balance sheets. </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 and expenses during the reported periods. Significant estimates and assumptions reflected in these condensed consolidated financial statements include, but are not limited to, revenue recognition, the useful lives of intangible assets and the valuation of common stock awards.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Changes in estimates are recorded in the period in which they become known. Actual results may differ from those estimates or assumptions.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chief operating decision maker (CODM), its Chief Executive Officer, is provided financial information presented on a consolidated basis for purposes of allocating resources and evaluating financial performance. The Company operates and manages its business as one reportable and operating segment. In addition, substantially all of the Company’s revenue and long-lived assets are attributable to operations in the United States for all periods presented. </w:t>
      </w:r>
    </w:p>
    <w:p>
      <w:pPr>
        <w:pStyle w:val="TextBody"/>
        <w:bidi w:val="0"/>
        <w:jc w:val="left"/>
        <w:rPr>
          <w:rFonts w:ascii="Times New Roman" w:hAnsi="Times New Roman"/>
          <w:sz w:val="20"/>
        </w:rPr>
      </w:pPr>
      <w:r>
        <w:rPr>
          <w:rFonts w:ascii="Times New Roman" w:hAnsi="Times New Roman"/>
          <w:b/>
          <w:i/>
          <w:color w:val="000000"/>
          <w:sz w:val="20"/>
        </w:rPr>
        <w:t>Variable Interest Entities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evaluates its ownership, contractual and other interests in entities to determine if it has any variable interest in a variable interest entity (“VIE”). These evaluations are complex and involve judgment. If the Company determines that an entity in which it holds a contractual or ownership interest is a VIE and that the Company is the primary beneficiary, the Company consolidates such entity in its condensed consolidated financial statements. The primary beneficiary of a VIE is the party that meets both of the following criteria: (i) has the power to make decisions that most significantly affect the economic performance of the VIE; and (ii) has the obligation to absorb losses or the right to receive benefits that in either case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aggregate carrying value of total assets and total liabilities included on the condensed consolidated balance sheets for the PCs after elimination of intercompany transactions were $19,792 and $603, respectively, as of March 31, 2026 and $16,810 and $246, respectively as of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revenue included on the condensed consolidated statements of operations and comprehensive loss for the PCs after elimination of intercompany transactions was $8,379 and $9,667 for the three months ended March 31, 2026 and 2025, respectively. Net loss included on the condensed consolidated statements of operations and comprehensive loss was not material for the three months ended March 31, 2026 and 2025.</w:t>
      </w:r>
    </w:p>
    <w:p>
      <w:pPr>
        <w:pStyle w:val="TextBody"/>
        <w:bidi w:val="0"/>
        <w:spacing w:before="360" w:after="283"/>
        <w:jc w:val="left"/>
        <w:rPr>
          <w:rFonts w:ascii="Times New Roman" w:hAnsi="Times New Roman"/>
          <w:sz w:val="20"/>
        </w:rPr>
      </w:pPr>
      <w:r>
        <w:rPr>
          <w:rFonts w:ascii="Times New Roman" w:hAnsi="Times New Roman"/>
          <w:b/>
          <w:i/>
          <w:color w:val="000000"/>
          <w:sz w:val="20"/>
        </w:rPr>
        <w:t>Investment in Minority Owned Joint Venture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2019, the Company and Cleveland Clinic partnered to form a joint venture, under the name CCAW, JV LLC, to provide broad access to comprehensive and high acuity care services via digital care delivery. During 2025, the companies entered into an agreement for the complete liquidation and dissolution of the joint venture. As part of this agreement the Company will continue to support virtual second opinion services that were previously provided by CCAW, JV LLC, though our existing relationship with Cleveland Clinic. Certain business activities will continue through the transition period which will conclude in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2026, the Company did not recognize any loss or income as its proportionate share of the joint venture’s results of operations, as the investment balance was written down to zero. For the three months ended March 31, 2025, the Company recognized a loss of $778, as its proportionate share of the joint venture’s results of operations. Accordingly, the carrying value of the equity method investment as of March 31, 2026 and December 31, 2025 was zero.</w:t>
      </w:r>
    </w:p>
    <w:p>
      <w:pPr>
        <w:pStyle w:val="TextBody"/>
        <w:bidi w:val="0"/>
        <w:spacing w:before="360" w:after="283"/>
        <w:jc w:val="left"/>
        <w:rPr>
          <w:rFonts w:ascii="Times New Roman" w:hAnsi="Times New Roman"/>
          <w:sz w:val="20"/>
        </w:rPr>
      </w:pPr>
      <w:r>
        <w:rPr>
          <w:rFonts w:ascii="Times New Roman" w:hAnsi="Times New Roman"/>
          <w:b/>
          <w:i/>
          <w:color w:val="000000"/>
          <w:sz w:val="20"/>
        </w:rPr>
        <w:t>Concentrations of Credit Risk and Significant Clients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concentrations of credit risk consist primarily of cash, cash equivalents, investments and accounts receivable. The Company invests its excess cash with large financial institutions. Cash and cash equivalents are invested in highly rated money market funds. At times, the Company’s cash balances with individual banking institutions are in excess of federally insured limits. The Company’s investments are invested in U.S. government agency bonds. The Company has not experienced any losses on its deposits of cash, cash equivalents or investments. The Company does not believe that it is subject to unusual credit risk beyond the normal credit risk associated with commercial banking relationships.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performs ongoing assessments and credit evaluations of its clients to assess the collectability of the accounts based on a number of factors, including past transaction experience, age of the accounts receivable, review of the invoicing terms of the contracts, and recent communication with clients. The Company has not experienced significant credit losses from its accounts receivable. As of March 31, 2026, one client accounted for 66% of outstanding accounts receivable, and as of December 31, 2025, one client accounted for 53% of outstanding accounts receivable.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2026, sales to two clients represented 42% and 16% of the Company’s total revenue. During the three months ended March 31, 2025, sales to two clients represented 30% and 16% of the Company's total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Intangible assets acquired in a business combination are recognized at fair value using generally accepted valuation methods deemed appropriate for the type of intangible asset acquired and reported net of accumulated amortization, separately from goodwill. Definite-lived intangible assets, which primarily consist of customer relationships, contractor relationships, technology and trade name, are stated at historical cost and amortized over the assets’ estimated useful lives. Intangible assets are re-evaluated whenever events or changes in circumstances indicate that their estimated useful lives may require revision and/or the carrying value of the related asset group may not be recoverable by its projected undiscounted cash flows. If the carrying value of the asset group is determined to be unrecoverable, an impairment charge would be recognized in an amount equal to the amount by which the carrying value of the asset group exceeds its fair value. The Company did not identify a triggering event in the three months ended March 31, 2026 and 2025. No impairments were identified during the three months ended March 31, 2026 and 2025.</w:t>
      </w:r>
    </w:p>
    <w:p>
      <w:pPr>
        <w:pStyle w:val="TextBody"/>
        <w:bidi w:val="0"/>
        <w:spacing w:before="360" w:after="283"/>
        <w:jc w:val="left"/>
        <w:rPr>
          <w:rFonts w:ascii="Times New Roman" w:hAnsi="Times New Roman"/>
          <w:sz w:val="20"/>
        </w:rPr>
      </w:pPr>
      <w:r>
        <w:rPr>
          <w:rFonts w:ascii="Times New Roman" w:hAnsi="Times New Roman"/>
          <w:b/>
          <w:i/>
          <w:color w:val="000000"/>
          <w:sz w:val="20"/>
        </w:rPr>
        <w:t>Impairment of Long-Lived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Long-lived assets consist primarily of property and equipment and intangible assets.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among others. When testing for asset impairment, the Company groups assets and liabilities at the lowest level for which cash flows are separately identifiable.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the asset’s carrying amount. The impairment loss would be based on the excess of the carrying value of the impaired asset group over its fair value. The Company did not identify a triggering event in the three months ended March 31, 2025 and no impairments were identified during the three months ended March 31, 2025. In the three months ended March 31, 2026 the Company abandoned its corporate headquarters and as part of this fully impaired the right of use asset related to the lease. An impairment charge of $3,424 was recorded in operating expenses in the statement of operations, the lease was not terminated and rent payments will be made over the remaining lease term.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Issued Accounting Pronouncements and Disclosure Rules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 xml:space="preserve">Income Statement—Reporting Comprehensive Income—Expense Disaggregation Disclosures (Subtopic 220-40): Disaggregation of income statement expenses </w:t>
      </w:r>
      <w:r>
        <w:rPr>
          <w:rFonts w:ascii="Times New Roman" w:hAnsi="Times New Roman"/>
          <w:color w:val="000000"/>
          <w:sz w:val="20"/>
        </w:rPr>
        <w:t>(“ASU 2024-03”), which requires disaggregated information about certain income statement expense line items on an annual and interim basis. ASU 2024-03 is effective for annual periods beginning after December 15, 2026 and interim reporting periods within annual reporting periods beginning after December 15, 2027. Early adoption is permitted and can be applied prospectively or retrospectively. We are evaluating the effect that this guidance will have on our consolidated financial statement disclosures.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Intangibles—Goodwill and Other—Internal-Use Software (Subtopic 350-40): Improvements to the Accounting for and Disclosure of Software Costs</w:t>
      </w:r>
      <w:r>
        <w:rPr>
          <w:rFonts w:ascii="Times New Roman" w:hAnsi="Times New Roman"/>
          <w:color w:val="000000"/>
          <w:sz w:val="20"/>
        </w:rPr>
        <w:t>. The new guidance eliminates the prior stage-based model (e.g., preliminary, development, post-implementation) and introduces a principles-based approach. Software costs may be capitalized once (1) management commits to funding the project and (2) it is probable the software will be completed and used for its intended function. Entities must assess whether significant development uncertainty exists. The standard is effective for annual periods beginning after December 15, 2027 and interim reporting periods within those annual reporting periods, with early adoption permitted. Transition options include prospective, modified prospective, or retrospective application. The Company is currently evaluating the impact of ASU 2025-06 on its financial statements and related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and manages its business as one reportable and operating segment. The Company’s Amwell Platform enables hybrid care delivery for our customers. The measure of segment assets is reported on the balance sheet as total consolidated assets. In addition, the Company derives revenue primarily in the United States and manages the business activities on a consolidated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generates revenues from the use of the Amwell Platform in the form of recurring subscription fees for use. We also generate revenue from the performance of patient visits and other related professional services and hardware sales. The accounting policies are the same as those described in the summary of significant accounting policies.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The Company’s chief operating decision maker (CODM), its Chief Executive Officer, reviews financial information presented on a consolidated basis and decides how to allocate resources based on net loss. Consolidated net loss is used for evaluating financial performance. The monitoring of budgeted versus actual results are used in assessing performance of the Company and in establishing management’s compensation.</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The significant expense categories and amounts align with information that is regularly provided to the CODM. Significant segment expenses, consist of the following:</w:t>
      </w:r>
    </w:p>
    <w:tbl>
      <w:tblPr>
        <w:tblW w:w="6093" w:type="dxa"/>
        <w:jc w:val="left"/>
        <w:tblInd w:w="0" w:type="dxa"/>
        <w:tblLayout w:type="fixed"/>
        <w:tblCellMar>
          <w:top w:w="28" w:type="dxa"/>
          <w:left w:w="28" w:type="dxa"/>
          <w:bottom w:w="28" w:type="dxa"/>
          <w:right w:w="28" w:type="dxa"/>
        </w:tblCellMar>
      </w:tblPr>
      <w:tblGrid>
        <w:gridCol w:w="3156"/>
        <w:gridCol w:w="146"/>
        <w:gridCol w:w="181"/>
        <w:gridCol w:w="838"/>
        <w:gridCol w:w="181"/>
        <w:gridCol w:w="181"/>
        <w:gridCol w:w="181"/>
        <w:gridCol w:w="838"/>
        <w:gridCol w:w="391"/>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Consulting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Provider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segment expense items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costs and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72,307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60"/>
        <w:jc w:val="left"/>
        <w:rPr>
          <w:rFonts w:ascii="Times New Roman" w:hAnsi="Times New Roman"/>
          <w:color w:val="000000"/>
          <w:sz w:val="19"/>
        </w:rPr>
      </w:pPr>
      <w:r>
        <w:rPr>
          <w:rFonts w:ascii="Times New Roman" w:hAnsi="Times New Roman"/>
          <w:color w:val="000000"/>
          <w:sz w:val="19"/>
        </w:rPr>
        <w:t>(1) Other segment expense items primarily include hosting, hardware, corporate compliance, severance, strategic transformation costs, amortization, depreciation, bad debt and overhead expenses.</w:t>
      </w:r>
    </w:p>
    <w:p>
      <w:pPr>
        <w:pStyle w:val="TextBody"/>
        <w:bidi w:val="0"/>
        <w:spacing w:before="200" w:after="283"/>
        <w:jc w:val="left"/>
        <w:rPr>
          <w:rFonts w:ascii="Times New Roman" w:hAnsi="Times New Roman"/>
          <w:sz w:val="20"/>
        </w:rPr>
      </w:pPr>
      <w:r>
        <w:rPr>
          <w:rFonts w:ascii="Times New Roman" w:hAnsi="Times New Roman"/>
          <w:b/>
          <w:color w:val="000000"/>
          <w:sz w:val="20"/>
        </w:rPr>
        <w:t>4.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the Company’s revenues disaggregated by revenue source: </w:t>
      </w:r>
    </w:p>
    <w:p>
      <w:pPr>
        <w:pStyle w:val="TextBody"/>
        <w:bidi w:val="0"/>
        <w:jc w:val="left"/>
        <w:rPr/>
      </w:pPr>
      <w:r>
        <w:rPr/>
        <w:t> </w:t>
      </w:r>
    </w:p>
    <w:tbl>
      <w:tblPr>
        <w:tblW w:w="4996" w:type="dxa"/>
        <w:jc w:val="left"/>
        <w:tblInd w:w="0" w:type="dxa"/>
        <w:tblLayout w:type="fixed"/>
        <w:tblCellMar>
          <w:top w:w="28" w:type="dxa"/>
          <w:left w:w="28" w:type="dxa"/>
          <w:bottom w:w="28" w:type="dxa"/>
          <w:right w:w="28" w:type="dxa"/>
        </w:tblCellMar>
      </w:tblPr>
      <w:tblGrid>
        <w:gridCol w:w="1861"/>
        <w:gridCol w:w="146"/>
        <w:gridCol w:w="245"/>
        <w:gridCol w:w="785"/>
        <w:gridCol w:w="169"/>
        <w:gridCol w:w="169"/>
        <w:gridCol w:w="245"/>
        <w:gridCol w:w="785"/>
        <w:gridCol w:w="5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Platform subscription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54,883</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66,833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Accounts Receivable, Net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the allowance for credit losses were as follows: </w:t>
      </w:r>
    </w:p>
    <w:p>
      <w:pPr>
        <w:pStyle w:val="TextBody"/>
        <w:bidi w:val="0"/>
        <w:jc w:val="left"/>
        <w:rPr/>
      </w:pPr>
      <w:r>
        <w:rPr/>
        <w:t> </w:t>
      </w:r>
    </w:p>
    <w:tbl>
      <w:tblPr>
        <w:tblW w:w="10180" w:type="dxa"/>
        <w:jc w:val="left"/>
        <w:tblInd w:w="0" w:type="dxa"/>
        <w:tblLayout w:type="fixed"/>
        <w:tblCellMar>
          <w:top w:w="28" w:type="dxa"/>
          <w:left w:w="28" w:type="dxa"/>
          <w:bottom w:w="28" w:type="dxa"/>
          <w:right w:w="28" w:type="dxa"/>
        </w:tblCellMar>
      </w:tblPr>
      <w:tblGrid>
        <w:gridCol w:w="4306"/>
        <w:gridCol w:w="146"/>
        <w:gridCol w:w="667"/>
        <w:gridCol w:w="2138"/>
        <w:gridCol w:w="166"/>
        <w:gridCol w:w="146"/>
        <w:gridCol w:w="645"/>
        <w:gridCol w:w="1755"/>
        <w:gridCol w:w="21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has rights to consideration for services completed but not billed at the reporting date. Unbilled receivables are recorded as receivables when the Company has the right to invoice the client. The amount of unbilled accounts receivable included within accounts receivable on the condensed consolidated balance sheet was $13,167 and $4,322 as of March 31, 2026 and December 31, 2025, respectively.</w:t>
      </w:r>
    </w:p>
    <w:p>
      <w:pPr>
        <w:pStyle w:val="TextBody"/>
        <w:bidi w:val="0"/>
        <w:spacing w:before="360" w:after="283"/>
        <w:jc w:val="left"/>
        <w:rPr>
          <w:rFonts w:ascii="Times New Roman" w:hAnsi="Times New Roman"/>
          <w:sz w:val="20"/>
        </w:rPr>
      </w:pPr>
      <w:r>
        <w:rPr>
          <w:rFonts w:ascii="Times New Roman" w:hAnsi="Times New Roman"/>
          <w:b/>
          <w:i/>
          <w:color w:val="000000"/>
          <w:sz w:val="20"/>
        </w:rPr>
        <w:t>Deferred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 liabilities consist of deferred revenue and include collections in advance of performance under the contract. Such amounts are recognized as revenue over the contractual period. For the three months ended March 31, 2026 and 2025, the Company recognized revenue of $8,334 and $19,844, respectively, that was included in the corresponding contract liability balance at the beginning of the periods presented.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the Company’s deferred revenue balance for the three months ended March 31, 2026 and year ended December 31, 2025 were as follows: </w:t>
      </w:r>
    </w:p>
    <w:tbl>
      <w:tblPr>
        <w:tblW w:w="9835" w:type="dxa"/>
        <w:jc w:val="left"/>
        <w:tblInd w:w="0" w:type="dxa"/>
        <w:tblLayout w:type="fixed"/>
        <w:tblCellMar>
          <w:top w:w="28" w:type="dxa"/>
          <w:left w:w="28" w:type="dxa"/>
          <w:bottom w:w="28" w:type="dxa"/>
          <w:right w:w="28" w:type="dxa"/>
        </w:tblCellMar>
      </w:tblPr>
      <w:tblGrid>
        <w:gridCol w:w="3961"/>
        <w:gridCol w:w="146"/>
        <w:gridCol w:w="625"/>
        <w:gridCol w:w="2180"/>
        <w:gridCol w:w="166"/>
        <w:gridCol w:w="146"/>
        <w:gridCol w:w="481"/>
        <w:gridCol w:w="1919"/>
        <w:gridCol w:w="21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revenue,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revenue,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sz w:val="20"/>
        </w:rPr>
      </w:pPr>
      <w:r>
        <w:rPr>
          <w:rFonts w:ascii="Times New Roman" w:hAnsi="Times New Roman"/>
          <w:b/>
          <w:i/>
          <w:color w:val="000000"/>
          <w:sz w:val="20"/>
        </w:rPr>
        <w:t>Transaction Price Allocated to Remaining Performance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and December 31, 2025, the aggregate amount of the transaction price allocated to remaining performance obligations was $106,250 and $85,200, respectively. The substantial majority of the unsatisfied performance obligations will be satisfied over the next three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it pertains to the March 31, 2026 amount, the Company expects to recognize 59% of the transaction price in the 12 month period ended March 31, 2027, in its condensed consolidated statement of operations and comprehensive loss with the remainder recognized thereafter. </w:t>
      </w:r>
    </w:p>
    <w:p>
      <w:pPr>
        <w:pStyle w:val="TextBody"/>
        <w:bidi w:val="0"/>
        <w:spacing w:before="360" w:after="283"/>
        <w:jc w:val="left"/>
        <w:rPr>
          <w:rFonts w:ascii="Times New Roman" w:hAnsi="Times New Roman"/>
          <w:sz w:val="20"/>
        </w:rPr>
      </w:pPr>
      <w:r>
        <w:rPr>
          <w:rFonts w:ascii="Times New Roman" w:hAnsi="Times New Roman"/>
          <w:b/>
          <w:color w:val="000000"/>
          <w:sz w:val="20"/>
        </w:rPr>
        <w:t>5. Fair Value Measurements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present the Company’s fair value hierarchy for its assets and liabilities that are measured at fair value on a recurring basis and indicate the level within the fair value hierarchy of the valuation techniques the Company utilized to determine such fair value: </w:t>
      </w:r>
    </w:p>
    <w:p>
      <w:pPr>
        <w:pStyle w:val="TextBody"/>
        <w:bidi w:val="0"/>
        <w:jc w:val="left"/>
        <w:rPr/>
      </w:pPr>
      <w:r>
        <w:rPr/>
        <w:t> </w:t>
      </w:r>
    </w:p>
    <w:tbl>
      <w:tblPr>
        <w:tblW w:w="6538" w:type="dxa"/>
        <w:jc w:val="left"/>
        <w:tblInd w:w="0" w:type="dxa"/>
        <w:tblLayout w:type="fixed"/>
        <w:tblCellMar>
          <w:top w:w="28" w:type="dxa"/>
          <w:left w:w="28" w:type="dxa"/>
          <w:bottom w:w="28" w:type="dxa"/>
          <w:right w:w="28" w:type="dxa"/>
        </w:tblCellMar>
      </w:tblPr>
      <w:tblGrid>
        <w:gridCol w:w="2091"/>
        <w:gridCol w:w="146"/>
        <w:gridCol w:w="211"/>
        <w:gridCol w:w="676"/>
        <w:gridCol w:w="146"/>
        <w:gridCol w:w="146"/>
        <w:gridCol w:w="239"/>
        <w:gridCol w:w="391"/>
        <w:gridCol w:w="146"/>
        <w:gridCol w:w="146"/>
        <w:gridCol w:w="239"/>
        <w:gridCol w:w="391"/>
        <w:gridCol w:w="146"/>
        <w:gridCol w:w="146"/>
        <w:gridCol w:w="211"/>
        <w:gridCol w:w="676"/>
        <w:gridCol w:w="391"/>
      </w:tblGrid>
      <w:tr>
        <w:trPr/>
        <w:tc>
          <w:tcPr>
            <w:tcW w:w="2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96,286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96,286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538" w:type="dxa"/>
        <w:jc w:val="left"/>
        <w:tblInd w:w="0" w:type="dxa"/>
        <w:tblLayout w:type="fixed"/>
        <w:tblCellMar>
          <w:top w:w="28" w:type="dxa"/>
          <w:left w:w="28" w:type="dxa"/>
          <w:bottom w:w="28" w:type="dxa"/>
          <w:right w:w="28" w:type="dxa"/>
        </w:tblCellMar>
      </w:tblPr>
      <w:tblGrid>
        <w:gridCol w:w="2091"/>
        <w:gridCol w:w="146"/>
        <w:gridCol w:w="211"/>
        <w:gridCol w:w="676"/>
        <w:gridCol w:w="146"/>
        <w:gridCol w:w="146"/>
        <w:gridCol w:w="239"/>
        <w:gridCol w:w="391"/>
        <w:gridCol w:w="146"/>
        <w:gridCol w:w="146"/>
        <w:gridCol w:w="239"/>
        <w:gridCol w:w="391"/>
        <w:gridCol w:w="146"/>
        <w:gridCol w:w="146"/>
        <w:gridCol w:w="211"/>
        <w:gridCol w:w="676"/>
        <w:gridCol w:w="391"/>
      </w:tblGrid>
      <w:tr>
        <w:trPr/>
        <w:tc>
          <w:tcPr>
            <w:tcW w:w="2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95,426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95,426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cash equivalents were invested in money market funds and were valued based on Level 1 inputs. During the three months ended March 31, 2026, there were no transfers between fair value measurement levels. Interest income for the three months ended March 31, 2026 and 2025 was $976 and $1,564,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Divestiture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8, 2025 (the "Closing Date"), the Company and the Company's wholly owned subsidiary, Aligned Telehealth, LLC ("Aligned") entered into an asset purchase agreement relating to the sale of all property and assets owned, leased or licensed by Aligned that are primarily used or held for use in connection with the Company’s business of providing telepsychiatry services to hospitals and correctional programs (the "APC Business"), subject to certain specified exclusions such as cash. In connection with such purchase and sale, the buyer assumed specified contracts and the related accounts receivable and all accounts payable and accrued expenses of the APC Business, and Dr. Cynthia Horner transferred the ownership of Asana Integrated Medical Group (“Asana” and together with Aligned, “APC”), the affiliated clinical partner of Aligned, to a doctor affiliated with the buyer.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divestiture was completed on Closing Date, and the total consideration was comprised of (i) an upfront cash payment of $20,714, subject to customary adjustments and (ii) an additional cash payment (the “Additional Payment”) equal to 0.4x the buyer and its affiliates’ aggregate revenues arising from the provision of the APC Business to current customers and potential customers in the sales pipeline of APC during the twelve-month period immediately following the closing, subject to certain exclusions. The Additional Payment is considered seller contingent consideration and the Company has made an accounting policy election to account for the Additional Payment when realizable.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divestiture of APC did not represent a strategic shift that would have a major effect on the Company's consolidated results of operations, and therefore, its results of operations were not reported as discontinued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the Closing Date, the carrying amounts of the following major assets were derecognized from our condensed consolidated balance sheet:</w:t>
      </w:r>
    </w:p>
    <w:p>
      <w:pPr>
        <w:pStyle w:val="TextBody"/>
        <w:bidi w:val="0"/>
        <w:jc w:val="left"/>
        <w:rPr/>
      </w:pPr>
      <w:r>
        <w:rPr/>
        <w:t> </w:t>
      </w:r>
    </w:p>
    <w:tbl>
      <w:tblPr>
        <w:tblW w:w="2970" w:type="dxa"/>
        <w:jc w:val="left"/>
        <w:tblInd w:w="0" w:type="dxa"/>
        <w:tblLayout w:type="fixed"/>
        <w:tblCellMar>
          <w:top w:w="28" w:type="dxa"/>
          <w:left w:w="28" w:type="dxa"/>
          <w:bottom w:w="28" w:type="dxa"/>
          <w:right w:w="28" w:type="dxa"/>
        </w:tblCellMar>
      </w:tblPr>
      <w:tblGrid>
        <w:gridCol w:w="1771"/>
        <w:gridCol w:w="211"/>
        <w:gridCol w:w="631"/>
        <w:gridCol w:w="166"/>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Intangibles,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divested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APC generated revenues of $459 during the three months ended March 31, 2025. Given that we operate our business as a single reporting unit, we are unable to reasonably determine stand-alone costs and related earnings or loss before income taxes attributable to the APC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completion of the divestiture of APC the Company recognized a gain of $10,713 during the three months ended March 31, 2025. In relation to the Additional Payment, the Company recognized a gain of $7,027 during the three months ended March 31, 2026. As the Company is in a loss position, no income tax expense related to the taxable gain was recognized during the three months ended March 31, 2026 and 2025.</w:t>
      </w:r>
    </w:p>
    <w:p>
      <w:pPr>
        <w:pStyle w:val="TextBody"/>
        <w:bidi w:val="0"/>
        <w:spacing w:before="360" w:after="283"/>
        <w:jc w:val="left"/>
        <w:rPr>
          <w:rFonts w:ascii="Times New Roman" w:hAnsi="Times New Roman"/>
          <w:sz w:val="20"/>
        </w:rPr>
      </w:pPr>
      <w:r>
        <w:rPr>
          <w:rFonts w:ascii="Times New Roman" w:hAnsi="Times New Roman"/>
          <w:b/>
          <w:color w:val="000000"/>
          <w:sz w:val="20"/>
        </w:rPr>
        <w:t>7. Intangible Assets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Identified intangible assets consist of the following: </w:t>
      </w:r>
    </w:p>
    <w:p>
      <w:pPr>
        <w:pStyle w:val="TextBody"/>
        <w:bidi w:val="0"/>
        <w:jc w:val="left"/>
        <w:rPr/>
      </w:pPr>
      <w:r>
        <w:rPr/>
        <w:t> </w:t>
      </w:r>
    </w:p>
    <w:tbl>
      <w:tblPr>
        <w:tblW w:w="7615" w:type="dxa"/>
        <w:jc w:val="left"/>
        <w:tblInd w:w="0" w:type="dxa"/>
        <w:tblLayout w:type="fixed"/>
        <w:tblCellMar>
          <w:top w:w="28" w:type="dxa"/>
          <w:left w:w="28" w:type="dxa"/>
          <w:bottom w:w="28" w:type="dxa"/>
          <w:right w:w="28" w:type="dxa"/>
        </w:tblCellMar>
      </w:tblPr>
      <w:tblGrid>
        <w:gridCol w:w="2536"/>
        <w:gridCol w:w="146"/>
        <w:gridCol w:w="211"/>
        <w:gridCol w:w="781"/>
        <w:gridCol w:w="146"/>
        <w:gridCol w:w="146"/>
        <w:gridCol w:w="216"/>
        <w:gridCol w:w="865"/>
        <w:gridCol w:w="166"/>
        <w:gridCol w:w="146"/>
        <w:gridCol w:w="211"/>
        <w:gridCol w:w="676"/>
        <w:gridCol w:w="146"/>
        <w:gridCol w:w="146"/>
        <w:gridCol w:w="255"/>
        <w:gridCol w:w="631"/>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Life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Internally developed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Life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Internally developed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capitalized $2,781 in the three months ended March 31, 2026 and nothing in the three months ended March 31, 2025, related to internally developed software to be sold as a service incurred during the application development stage. The Company is amortizing these costs over the expected lives of the related services. Amortization expense related to intangible assets for the three months ended March 31, 2026 and 2025 was $7,538 and $7,749, respectively.</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8. Accrued Expenses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consist of the following: </w:t>
      </w:r>
    </w:p>
    <w:p>
      <w:pPr>
        <w:pStyle w:val="TextBody"/>
        <w:bidi w:val="0"/>
        <w:jc w:val="left"/>
        <w:rPr/>
      </w:pPr>
      <w:r>
        <w:rPr/>
        <w:t> </w:t>
      </w:r>
    </w:p>
    <w:tbl>
      <w:tblPr>
        <w:tblW w:w="6555" w:type="dxa"/>
        <w:jc w:val="left"/>
        <w:tblInd w:w="0" w:type="dxa"/>
        <w:tblLayout w:type="fixed"/>
        <w:tblCellMar>
          <w:top w:w="28" w:type="dxa"/>
          <w:left w:w="28" w:type="dxa"/>
          <w:bottom w:w="28" w:type="dxa"/>
          <w:right w:w="28" w:type="dxa"/>
        </w:tblCellMar>
      </w:tblPr>
      <w:tblGrid>
        <w:gridCol w:w="3166"/>
        <w:gridCol w:w="146"/>
        <w:gridCol w:w="299"/>
        <w:gridCol w:w="961"/>
        <w:gridCol w:w="146"/>
        <w:gridCol w:w="146"/>
        <w:gridCol w:w="357"/>
        <w:gridCol w:w="1143"/>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Provider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accrual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45,308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9. Stockholders’ Equity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Undesignated Preferred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Amended and Restated Certificate of Incorporation authorizes the issuance of 100,000,000 shares of undesignated preferred stock, par value of $0.01 per share, with rights and preferences, including voting rights, designated from time to time by the board of directors. No shares of preferred stock were issued or outstanding as of March 31, 2026 and December 31, 2025.</w:t>
      </w:r>
    </w:p>
    <w:p>
      <w:pPr>
        <w:pStyle w:val="TextBody"/>
        <w:bidi w:val="0"/>
        <w:spacing w:before="360" w:after="283"/>
        <w:jc w:val="left"/>
        <w:rPr>
          <w:rFonts w:ascii="Times New Roman" w:hAnsi="Times New Roman"/>
          <w:sz w:val="20"/>
        </w:rPr>
      </w:pPr>
      <w:r>
        <w:rPr>
          <w:rFonts w:ascii="Times New Roman" w:hAnsi="Times New Roman"/>
          <w:b/>
          <w:i/>
          <w:color w:val="000000"/>
          <w:sz w:val="20"/>
        </w:rPr>
        <w:t>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three months ended March 31, 2026 and 2025, no shares of Class B common stock were converted to Class A common stock. As of March 31, 2026, the par value of the Class A, Class B and Class C shares was $150, $14, and $3, respectively. As of December 31, 2025 the aggregate par value of the Class A, Class B and Class C shares was $148, $14 and $3, respectively.</w:t>
      </w:r>
    </w:p>
    <w:p>
      <w:pPr>
        <w:pStyle w:val="TextBody"/>
        <w:bidi w:val="0"/>
        <w:jc w:val="left"/>
        <w:rPr/>
      </w:pPr>
      <w:r>
        <w:rPr/>
        <w:t> </w:t>
      </w:r>
    </w:p>
    <w:tbl>
      <w:tblPr>
        <w:tblW w:w="7747" w:type="dxa"/>
        <w:jc w:val="left"/>
        <w:tblInd w:w="0" w:type="dxa"/>
        <w:tblLayout w:type="fixed"/>
        <w:tblCellMar>
          <w:top w:w="28" w:type="dxa"/>
          <w:left w:w="28" w:type="dxa"/>
          <w:bottom w:w="28" w:type="dxa"/>
          <w:right w:w="28" w:type="dxa"/>
        </w:tblCellMar>
      </w:tblPr>
      <w:tblGrid>
        <w:gridCol w:w="736"/>
        <w:gridCol w:w="146"/>
        <w:gridCol w:w="146"/>
        <w:gridCol w:w="1294"/>
        <w:gridCol w:w="146"/>
        <w:gridCol w:w="146"/>
        <w:gridCol w:w="286"/>
        <w:gridCol w:w="2039"/>
        <w:gridCol w:w="146"/>
        <w:gridCol w:w="146"/>
        <w:gridCol w:w="286"/>
        <w:gridCol w:w="2039"/>
        <w:gridCol w:w="191"/>
      </w:tblGrid>
      <w:tr>
        <w:trPr/>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 and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 and Outstanding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15,011,477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14,782,788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1,369,518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277,777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1,300,000,000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16,658,772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16,430,083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As of March 31, 2026 and December 31, 2025, the Company had reserved 5,331,692 and 4,619,313 shares of common stock for the exercise of outstanding stock options, the vesting of restricted stock units, the vesting of performance-based market condition share awards, and the number of shares remaining available for future grant, respectively. </w:t>
      </w:r>
    </w:p>
    <w:p>
      <w:pPr>
        <w:pStyle w:val="TextBody"/>
        <w:bidi w:val="0"/>
        <w:spacing w:before="360" w:after="283"/>
        <w:jc w:val="left"/>
        <w:rPr>
          <w:rFonts w:ascii="Times New Roman" w:hAnsi="Times New Roman"/>
          <w:sz w:val="20"/>
        </w:rPr>
      </w:pPr>
      <w:r>
        <w:rPr>
          <w:rFonts w:ascii="Times New Roman" w:hAnsi="Times New Roman"/>
          <w:b/>
          <w:i/>
          <w:color w:val="000000"/>
          <w:sz w:val="20"/>
        </w:rPr>
        <w:t>Stock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maintains the 2006 Employee, Director and Consultant Stock Plan as amended and restated (the “2006 Plan”), the 2020 Equity Incentive Plan (the “2020 Plan”) and 2024 Inducement Plan (the “2024 Plan”), together, the “Plans,” under which it has granted incentive stock options, non-qualified stock options, cash based awards, restricted stock units and performance stock units to employees, officers, and directors of the Company. In connection with the adoption of the 2020 Plan, the then-remaining shares of common stock reserved for grant or issuance under the 2006 Plan became available for issuance under the 2020 Plan, and no further grants will be made under the 2006 Plan.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Activity under the Plans is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25"/>
        <w:gridCol w:w="146"/>
        <w:gridCol w:w="146"/>
        <w:gridCol w:w="781"/>
        <w:gridCol w:w="166"/>
        <w:gridCol w:w="146"/>
        <w:gridCol w:w="265"/>
        <w:gridCol w:w="852"/>
        <w:gridCol w:w="146"/>
        <w:gridCol w:w="146"/>
        <w:gridCol w:w="413"/>
        <w:gridCol w:w="1026"/>
        <w:gridCol w:w="146"/>
        <w:gridCol w:w="146"/>
        <w:gridCol w:w="438"/>
        <w:gridCol w:w="722"/>
        <w:gridCol w:w="195"/>
      </w:tblGrid>
      <w:tr>
        <w:trPr/>
        <w:tc>
          <w:tcPr>
            <w:tcW w:w="4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3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340,426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No options were exercised or granted in the three months ended March 31, 2026 and 2025. </w:t>
      </w:r>
    </w:p>
    <w:p>
      <w:pPr>
        <w:pStyle w:val="TextBody"/>
        <w:bidi w:val="0"/>
        <w:spacing w:before="360" w:after="283"/>
        <w:jc w:val="left"/>
        <w:rPr>
          <w:rFonts w:ascii="Times New Roman" w:hAnsi="Times New Roman"/>
          <w:sz w:val="20"/>
        </w:rPr>
      </w:pPr>
      <w:r>
        <w:rPr>
          <w:rFonts w:ascii="Times New Roman" w:hAnsi="Times New Roman"/>
          <w:b/>
          <w:i/>
          <w:color w:val="000000"/>
          <w:sz w:val="20"/>
        </w:rPr>
        <w:t>Restricted Stock Units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Activity for the restricted stock units is as follows: </w:t>
      </w:r>
    </w:p>
    <w:p>
      <w:pPr>
        <w:pStyle w:val="TextBody"/>
        <w:bidi w:val="0"/>
        <w:jc w:val="left"/>
        <w:rPr/>
      </w:pPr>
      <w:r>
        <w:rPr/>
        <w:t> </w:t>
      </w:r>
    </w:p>
    <w:tbl>
      <w:tblPr>
        <w:tblW w:w="5822" w:type="dxa"/>
        <w:jc w:val="left"/>
        <w:tblInd w:w="0" w:type="dxa"/>
        <w:tblLayout w:type="fixed"/>
        <w:tblCellMar>
          <w:top w:w="28" w:type="dxa"/>
          <w:left w:w="28" w:type="dxa"/>
          <w:bottom w:w="28" w:type="dxa"/>
          <w:right w:w="28" w:type="dxa"/>
        </w:tblCellMar>
      </w:tblPr>
      <w:tblGrid>
        <w:gridCol w:w="2641"/>
        <w:gridCol w:w="146"/>
        <w:gridCol w:w="146"/>
        <w:gridCol w:w="931"/>
        <w:gridCol w:w="166"/>
        <w:gridCol w:w="146"/>
        <w:gridCol w:w="391"/>
        <w:gridCol w:w="1064"/>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1,436,378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total grant date fair value of RSU’s granted for the three months ended March 31, 2026 and 2025 was $2,312 and $7,524, respectively. Restricted stock units vest over the service period of one to four years. The aggregate intrinsic value of restricted stock units vested for the three months ended March 31, 2026 and 2025 was $855 and $1,302, respectively.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Restricted Stock Units with a Performance or Market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Activity for the restricted stock units with a performance or market condition is as follows:</w:t>
      </w:r>
    </w:p>
    <w:p>
      <w:pPr>
        <w:pStyle w:val="TextBody"/>
        <w:bidi w:val="0"/>
        <w:spacing w:before="40" w:after="283"/>
        <w:jc w:val="left"/>
        <w:rPr/>
      </w:pPr>
      <w:r>
        <w:rPr/>
        <w:t> </w:t>
      </w:r>
    </w:p>
    <w:tbl>
      <w:tblPr>
        <w:tblW w:w="5672" w:type="dxa"/>
        <w:jc w:val="left"/>
        <w:tblInd w:w="0" w:type="dxa"/>
        <w:tblLayout w:type="fixed"/>
        <w:tblCellMar>
          <w:top w:w="28" w:type="dxa"/>
          <w:left w:w="28" w:type="dxa"/>
          <w:bottom w:w="28" w:type="dxa"/>
          <w:right w:w="28" w:type="dxa"/>
        </w:tblCellMar>
      </w:tblPr>
      <w:tblGrid>
        <w:gridCol w:w="2641"/>
        <w:gridCol w:w="146"/>
        <w:gridCol w:w="146"/>
        <w:gridCol w:w="781"/>
        <w:gridCol w:w="166"/>
        <w:gridCol w:w="146"/>
        <w:gridCol w:w="391"/>
        <w:gridCol w:w="1064"/>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224,435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were no performance-based or market condition share awards granted during the three months ended March 31, 2026 and 2025. </w:t>
      </w:r>
    </w:p>
    <w:p>
      <w:pPr>
        <w:pStyle w:val="TextBody"/>
        <w:bidi w:val="0"/>
        <w:spacing w:before="360" w:after="283"/>
        <w:jc w:val="left"/>
        <w:rPr>
          <w:rFonts w:ascii="Times New Roman" w:hAnsi="Times New Roman"/>
          <w:sz w:val="20"/>
        </w:rPr>
      </w:pPr>
      <w:r>
        <w:rPr>
          <w:rFonts w:ascii="Times New Roman" w:hAnsi="Times New Roman"/>
          <w:b/>
          <w:i/>
          <w:color w:val="000000"/>
          <w:sz w:val="20"/>
        </w:rPr>
        <w:t>2020 Employee Stock Purchase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2025, the Company issued 77,083 shares under the ESPP. During the three months ended March 31, 2026, the Company issued 61,939 shares under the ESPP. As of March 31, 2026, 338,291 shares remained available for issuance.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Stock-based compensation expense, related to all of the Company's stock-based awards, was classified in the condensed consolidated statements of operations and comprehensive loss as follows: </w:t>
      </w:r>
    </w:p>
    <w:p>
      <w:pPr>
        <w:pStyle w:val="TextBody"/>
        <w:bidi w:val="0"/>
        <w:jc w:val="left"/>
        <w:rPr/>
      </w:pPr>
      <w:r>
        <w:rPr/>
        <w:t> </w:t>
      </w:r>
    </w:p>
    <w:tbl>
      <w:tblPr>
        <w:tblW w:w="5044" w:type="dxa"/>
        <w:jc w:val="left"/>
        <w:tblInd w:w="0" w:type="dxa"/>
        <w:tblLayout w:type="fixed"/>
        <w:tblCellMar>
          <w:top w:w="28" w:type="dxa"/>
          <w:left w:w="28" w:type="dxa"/>
          <w:bottom w:w="28" w:type="dxa"/>
          <w:right w:w="28" w:type="dxa"/>
        </w:tblCellMar>
      </w:tblPr>
      <w:tblGrid>
        <w:gridCol w:w="2311"/>
        <w:gridCol w:w="146"/>
        <w:gridCol w:w="272"/>
        <w:gridCol w:w="738"/>
        <w:gridCol w:w="188"/>
        <w:gridCol w:w="188"/>
        <w:gridCol w:w="272"/>
        <w:gridCol w:w="738"/>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As of March 31, 2026, the unrecognized stock-based compensation expense related to unvested common stock-based awards was $11,653, which is expected to be recognized over a weighted-average period of 1.6 years. </w:t>
      </w:r>
    </w:p>
    <w:p>
      <w:pPr>
        <w:pStyle w:val="TextBody"/>
        <w:bidi w:val="0"/>
        <w:spacing w:before="360" w:after="283"/>
        <w:jc w:val="left"/>
        <w:rPr>
          <w:rFonts w:ascii="Times New Roman" w:hAnsi="Times New Roman"/>
          <w:sz w:val="20"/>
        </w:rPr>
      </w:pPr>
      <w:r>
        <w:rPr>
          <w:rFonts w:ascii="Times New Roman" w:hAnsi="Times New Roman"/>
          <w:b/>
          <w:color w:val="000000"/>
          <w:sz w:val="20"/>
        </w:rPr>
        <w:t>10.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Indemnification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arrangements generally include certain provisions for indemnifying clients against third-party claims asserting infringement of certain intellectual property rights in the ordinary course of business. The Company also regularly indemnifies clients against third-party claims that the company’s products or services breach applicable law or regulation or from claims resulting from a breach of the business associate agreement in place with the client. In addition, the Company indemnifies its officers, directors and certain key employees while they are serving in good faith in their capacities. Through March 31, 2026 and December 31, 2025, there have been no claims under any indemnification provisions. </w:t>
      </w:r>
    </w:p>
    <w:p>
      <w:pPr>
        <w:pStyle w:val="TextBody"/>
        <w:bidi w:val="0"/>
        <w:jc w:val="left"/>
        <w:rPr>
          <w:rFonts w:ascii="Times New Roman" w:hAnsi="Times New Roman"/>
          <w:sz w:val="20"/>
        </w:rPr>
      </w:pPr>
      <w:r>
        <w:rPr>
          <w:rFonts w:ascii="Times New Roman" w:hAnsi="Times New Roman"/>
          <w:b/>
          <w:i/>
          <w:color w:val="000000"/>
          <w:sz w:val="20"/>
        </w:rPr>
        <w:t>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and in the ordinary course of business, the Company may be subject to various claims, charges, and litigation. As of March 31, 2026 and December 31, 2025, the Company did not have any pending claims, charges or litigation that it expects would have a material adverse effect on its consolidated financial position, results of operations or cash flows. We have $8,650 of legal costs accrued, of which $5,200 relates to one specific case.</w:t>
      </w:r>
    </w:p>
    <w:p>
      <w:pPr>
        <w:pStyle w:val="TextBody"/>
        <w:bidi w:val="0"/>
        <w:spacing w:before="360" w:after="283"/>
        <w:jc w:val="left"/>
        <w:rPr>
          <w:rFonts w:ascii="Times New Roman" w:hAnsi="Times New Roman"/>
          <w:sz w:val="20"/>
        </w:rPr>
      </w:pPr>
      <w:r>
        <w:rPr>
          <w:rFonts w:ascii="Times New Roman" w:hAnsi="Times New Roman"/>
          <w:b/>
          <w:color w:val="000000"/>
          <w:sz w:val="20"/>
        </w:rPr>
        <w:t>11.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Company’s history of net operating losses (“NOL”), the Company continues to maintain a full valuation allowance against its domestic net deferred tax assets. For the three months ended March 31, 2026, the Company recognized an income tax expense of $217, primarily due to federal, state and foreign income tax expense. During the three months ended March 31, 2025, the Company recognized an income tax expense of $568, primarily due to federal, state and foreign income tax expense.</w:t>
      </w:r>
    </w:p>
    <w:p>
      <w:pPr>
        <w:pStyle w:val="TextBody"/>
        <w:bidi w:val="0"/>
        <w:spacing w:before="360" w:after="283"/>
        <w:jc w:val="left"/>
        <w:rPr>
          <w:rFonts w:ascii="Times New Roman" w:hAnsi="Times New Roman"/>
          <w:sz w:val="20"/>
        </w:rPr>
      </w:pPr>
      <w:r>
        <w:rPr>
          <w:rFonts w:ascii="Times New Roman" w:hAnsi="Times New Roman"/>
          <w:b/>
          <w:color w:val="000000"/>
          <w:sz w:val="20"/>
        </w:rPr>
        <w:t>12. Related-Party Transactions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Cleveland Clinic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Cleveland Clinic is a related party because a member of the Company’s board of directors is an executive advisor to Cleveland Clinic. As of March 31, 2026 and December 31, 2025, the Company held current deferred revenue of $65 and $113, respectively from contracts with this client. As of March 31, 2026 and December 31, 2025, amounts due from Cleveland Clinic were $359 and $441,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2026 and 2025, the Company recognized revenue of $249 and $62, respectively, from contracts with this client.</w:t>
      </w:r>
    </w:p>
    <w:p>
      <w:pPr>
        <w:pStyle w:val="TextBody"/>
        <w:bidi w:val="0"/>
        <w:spacing w:before="360" w:after="283"/>
        <w:jc w:val="left"/>
        <w:rPr>
          <w:rFonts w:ascii="Times New Roman" w:hAnsi="Times New Roman"/>
          <w:sz w:val="20"/>
        </w:rPr>
      </w:pPr>
      <w:r>
        <w:rPr>
          <w:rFonts w:ascii="Times New Roman" w:hAnsi="Times New Roman"/>
          <w:b/>
          <w:color w:val="000000"/>
          <w:sz w:val="20"/>
        </w:rPr>
        <w:t>CCAW, JV LLC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CCAW, JV LLC is a related party because it is a joint venture formed between the Company and Cleveland Clinic for which the Company has a minority owned interest in. During 2025, the companies determined that these care services could be provided through partnering between the two entities and that the joint venture was no longer necessary to achieve care delivery. During the year ended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December 31, 2025, the companies entered into an agreement for the complete liquidation and dissolution of the joint venture. As part of this agreement the Company will continue to support virtual second opinion services that were previously provided by CCAW, JV LLC, though our existing relationship with Cleveland Clinic. Certain business activities will continue through the transition period which will conclude in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2026 and 2025, the Company made no capital contributions.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and December 31, 2025, the Company held no current deferred revenue, from contracts with this client. As of March 31, 2026 and December 31, 2025, there was $460 and $514 due from CCAW, JV LLC,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2026 and 2025, the Company recognized revenue of $331 and $370 from contracts with this client, respectively.</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13. 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and diluted net loss per share attributable to common stockholders was calculated as follows: </w:t>
      </w:r>
    </w:p>
    <w:p>
      <w:pPr>
        <w:pStyle w:val="TextBody"/>
        <w:bidi w:val="0"/>
        <w:jc w:val="left"/>
        <w:rPr/>
      </w:pPr>
      <w:r>
        <w:rPr/>
        <w:t> </w:t>
      </w:r>
    </w:p>
    <w:tbl>
      <w:tblPr>
        <w:tblW w:w="9514" w:type="dxa"/>
        <w:jc w:val="left"/>
        <w:tblInd w:w="0" w:type="dxa"/>
        <w:tblLayout w:type="fixed"/>
        <w:tblCellMar>
          <w:top w:w="28" w:type="dxa"/>
          <w:left w:w="28" w:type="dxa"/>
          <w:bottom w:w="28" w:type="dxa"/>
          <w:right w:w="28" w:type="dxa"/>
        </w:tblCellMar>
      </w:tblPr>
      <w:tblGrid>
        <w:gridCol w:w="6151"/>
        <w:gridCol w:w="146"/>
        <w:gridCol w:w="211"/>
        <w:gridCol w:w="1036"/>
        <w:gridCol w:w="166"/>
        <w:gridCol w:w="146"/>
        <w:gridCol w:w="211"/>
        <w:gridCol w:w="1036"/>
        <w:gridCol w:w="411"/>
      </w:tblGrid>
      <w:tr>
        <w:trPr/>
        <w:tc>
          <w:tcPr>
            <w:tcW w:w="6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American Well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16,589,671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15,672,373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Company’s potential dilutive securities, which include stock options, unvested restricted stock units and unvested performance market-based stock units, have been excluded from the computation of diluted net loss per share as the effect would be anti-dilutive. Therefore, the weighted-average number of common shares outstanding used to calculate both basic and diluted net loss per share attributable to common stockholders is the same. The Company excluded the following potential common shares equivalents presented based on amounts outstanding at each period end, from the computation of diluted net loss per share attributable to common stockholders for the periods indicated because including them would have had an anti-dilutive effect: </w:t>
      </w:r>
    </w:p>
    <w:p>
      <w:pPr>
        <w:pStyle w:val="TextBody"/>
        <w:bidi w:val="0"/>
        <w:jc w:val="left"/>
        <w:rPr/>
      </w:pPr>
      <w:r>
        <w:rPr/>
        <w:t> </w:t>
      </w:r>
    </w:p>
    <w:tbl>
      <w:tblPr>
        <w:tblW w:w="6774" w:type="dxa"/>
        <w:jc w:val="left"/>
        <w:tblInd w:w="0" w:type="dxa"/>
        <w:tblLayout w:type="fixed"/>
        <w:tblCellMar>
          <w:top w:w="28" w:type="dxa"/>
          <w:left w:w="28" w:type="dxa"/>
          <w:bottom w:w="28" w:type="dxa"/>
          <w:right w:w="28" w:type="dxa"/>
        </w:tblCellMar>
      </w:tblPr>
      <w:tblGrid>
        <w:gridCol w:w="3991"/>
        <w:gridCol w:w="146"/>
        <w:gridCol w:w="146"/>
        <w:gridCol w:w="931"/>
        <w:gridCol w:w="146"/>
        <w:gridCol w:w="146"/>
        <w:gridCol w:w="146"/>
        <w:gridCol w:w="931"/>
        <w:gridCol w:w="1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1,810,703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performance market-based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755,302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shares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415,266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1,989,736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2,981,271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14. Severance and strategic transformation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executed a series of individual actions, referred to as strategic transformation actions. Strategic transformation costs include one-time employee termination benefits, strategic transformation consulting expenses, as well as other incremental costs resulting from these actions. Employee termination benefits are recorded in accordance with standard Company policy. Charges are recorded when such actions are approved, communicated, and/or implemented. Amounts remaining to be paid for any strategic transformation costs are $6,248 and included in accrued expenses and operating lease liability on the condensed consolidated balance sheet as of March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three months ended March 31, 2026 and 2025, the Company recorded charges of $4,477 and $3,465, respectively, in connection with individual strategic transformation actions. For the three months ended March 31, 2026 and 2025, these charges consist of $1,171 and $286 recorded as cost of sales, $1,421 and $1,824 recorded as research and development expense, $896 and $303 as sales and marketing expense, and $989 and $1,052 as general and administrative expenses,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1"/>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bookmarkStart w:id="10" w:name="item_2_managements_discussion_analysis_f"/>
      <w:bookmarkEnd w:id="10"/>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All statements contained in this Quarterly Report on Form 10-Q other than statements of historical fact, including statements regarding our future results of operations, including descriptions of our business plan and strategies, are forward-looking statements. These statements often include words such as “anticipate,” “expect,” “suggests,” “plan,” “believe,” “intend,” “estimates,” “targets,” “projects,” “should,” “could,” “would,” “may,” “will,” “forecast,” or the negative of these terms, and other similar expressions, although not all forward-looking statements contain these words.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cause actual results to differ materially from those expressed in the forward-looking statements and projections.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Important factors that may materially affect such forward-looking statements and projections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weak growth and increased volatility in the digital care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history of losses and the risk we may not achieve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adapt to rapid technological changes;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limited number of significant clients and the risk that we may lose their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competition from existing and potential new participants in the healthcare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healthcare laws, regulations or trends and our ability to operate in the heavily regulated healthcare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regulations concerning personally identifiable information and personal health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slower than expected growth in patient adoption of digital care and in platform usage by either clients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grow our base of affiliated and non-affiliated providers sufficient to serve patient demand;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federal and state privacy regulations and the significant liability that could result from a cybersecurity breach or our failure to comply with such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commence and complete any strategic transformation initiatives and the impact of such initiatives;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strategic relationships with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the seasonal viruses on our business or on our ability to forecast our business’s financial outlook;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that the insurance we maintain may not fully cover all potential exposures;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continuation of the Defense Health Agency relationship beyond July 2026 with comparable financial terms.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foregoing list of factors is not exhaustive and does not necessarily include all of the important factors that could cause actual results to differ materially from those expressed in any of our forward-looking statements. The information in this Quarterly Report should be read carefully in conjunction with other uncertainties and potential events described in our Form 10-K filed with the SEC on February 12,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forward-looking statements included in this Quarterly Report on Form 10-Q are made only as of the date of this Quarterly Report. Except as required by law or regulation, we do not undertake any obligation to update any forward-looking statements to reflect subsequent events or circumstances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Amwell is a leading enterprise platform and software company digitally enabling hybrid care. We empower health providers, payers, and innovators to achieve their digital ambitions, enabling a coordinated experience across in-person, virtual and automated care. We provide our clients with the core technology and services necessary to successfully develop and distribute digital care programs that meet their strategic, operational, financial and clinical objectives under their own brands. We offer our clients products to help weave digital care across all care settings. We bring technology and services that facilitate new models of care, strategic partnerships, consistent execution and better outcomes.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Founded in 2006, Amwell pioneered virtual healthcare. Today, Amwell extends digital care beyond telehealth, enabling care across in-person, virtual and automated modalities and providing an open, scalable platform that can flex and grow alongside our clients. We bring technology and services that facilitate new models of care, strategic partnerships, consistent execution and better outcomes. Together with our clients and innovation partners, we forge a new hybrid model of care delivery that adapts as needs evolve and makes care more accessible for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powered the digital care programs of approximately 50 health plans, which collectively represent more than 90 million covered lives, as well as approximately 80 of the nation’s largest health systems. Since inception, we have powered approximately 38.7 million virtual care visits for our clients, including approximately 1.1 million in the three months ended March 31, 2026.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The Amwell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enterprise platform and software as a service solutions (“Amwell Platform”) was designed to be future-ready, reliable, flexible, scalable, secure and integrated with other healthcare software systems. The Amwell Platform offers state-of-the-art data architecture and video capabilities, flexibility and scalability, as well as a user experience focused on the needs of patients, members and providers. It has been designed from the ground up with the holistic understanding that the future of care of any one person will inevitably blend a mix of in-person, virtual and automated care experiences. The telehealth of yesterday has grown to encompass hybrid care delivery models and the flow of data that drives healthcare.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Amwell Platform delivers the digital capabilities that health systems and health plans care about — for example, virtual primary care, post-discharge follow-up, chronic condition management, virtual nursing — and aligns them into a single digital care operating system that aggregates all of the data from these care experiences to provide real-time insight. By providing a single platform for the digital distribution of care, the Amwell Platform accelerates innovation and interoperability for health system and health plan clients as well as other healthcare innovators who aim to offer a seamless experience for providers, patients and members.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Amwell Platform, is our go-forward strategy to digitally enable a scalable healthcare experience across all care settings. The development of the platform provides our customer base with an improved and more robust healthcare solution that is designed to connect seamlessly with clients' existing investments as well as Amwell-owned and partner programs. </w:t>
      </w:r>
    </w:p>
    <w:p>
      <w:pPr>
        <w:pStyle w:val="TextBody"/>
        <w:bidi w:val="0"/>
        <w:spacing w:before="360" w:after="283"/>
        <w:jc w:val="left"/>
        <w:rPr>
          <w:rFonts w:ascii="Times New Roman" w:hAnsi="Times New Roman"/>
          <w:sz w:val="20"/>
        </w:rPr>
      </w:pPr>
      <w:r>
        <w:rPr>
          <w:rFonts w:ascii="Times New Roman" w:hAnsi="Times New Roman"/>
          <w:b/>
          <w:color w:val="000000"/>
          <w:sz w:val="20"/>
        </w:rPr>
        <w:t>Our Business Model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sell the Amwell Platform on a subscription basis, which with our modular platform architecture allows our clients to introduce innovative digital care use cases over time, expanding our subscription revenue opportunity. To support the Amwell Platform, we offer professional services on a fee-for-service basis and a range of patient and provider Carepoint devices and software that support hospital and home use cases and access to AMG, our affiliated medical group that provides clinical services on a fee-for-service basis. The combination of the Amwell Platform, professional services and Carepoint hardware allows our clients to deploy digital care solutions across their full enterprise, deepening their relationships with existing and new patients and members through improved care access and coordination, cost and quality. Our contracts are typically three years in length but may be longer for our largest strategic client partners.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subscription fees received were $24.9 million and $32.2 million for the three months ended March 31, 2026 and 2025, respectively.</w:t>
      </w:r>
    </w:p>
    <w:p>
      <w:pPr>
        <w:pStyle w:val="TextBody"/>
        <w:bidi w:val="0"/>
        <w:spacing w:before="360" w:after="283"/>
        <w:jc w:val="left"/>
        <w:rPr>
          <w:rFonts w:ascii="Times New Roman" w:hAnsi="Times New Roman"/>
          <w:sz w:val="20"/>
        </w:rPr>
      </w:pPr>
      <w:r>
        <w:rPr>
          <w:rFonts w:ascii="Times New Roman" w:hAnsi="Times New Roman"/>
          <w:b/>
          <w:i/>
          <w:color w:val="000000"/>
          <w:sz w:val="20"/>
        </w:rPr>
        <w:t>Health Systems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For health systems, the Amwell Platform enables provider-to-provider virtual care for use cases ranging from stroke to virtual nursing and e-sitting. Our suite of Carepoint devices can enhance in-person care, whether the clients want to turn existing equipment such as televisions or iPads into digital access points or use Amwell Carepoint</w:t>
      </w:r>
      <w:r>
        <w:rPr>
          <w:rFonts w:ascii="Times New Roman" w:hAnsi="Times New Roman"/>
          <w:color w:val="000000"/>
          <w:sz w:val="13"/>
        </w:rPr>
        <w:t>TM</w:t>
      </w:r>
      <w:r>
        <w:rPr>
          <w:rFonts w:ascii="Times New Roman" w:hAnsi="Times New Roman"/>
          <w:color w:val="000000"/>
          <w:sz w:val="20"/>
        </w:rPr>
        <w:t xml:space="preserve"> carts and peripherals.The Amwell Platform also helps extend care outside the care setting by enabling both on-demand and scheduled provider-to-patient care for a range of use cases.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includes, but is not limited to, urgent care, primary care, behavioral health, chronic disease management, and specialty follow-up care. To augment in-person and virtual care, our automated care programs and digital mental health services help clinicians and health plans engage patients, members, and consumers before, after, or in-between visits to improve care plan adherence and prevent costly escalations.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supplement a health system’s own network of healthcare providers, health systems often choose to purchase clinical services from AMG to deliver care for certain specialties such as behavioral health therapy and general urgent care, or to simply operate as backup providers on nights and weekends. AMG services are provided on a fee-for-service basis. </w:t>
      </w:r>
    </w:p>
    <w:p>
      <w:pPr>
        <w:pStyle w:val="TextBody"/>
        <w:bidi w:val="0"/>
        <w:spacing w:before="360" w:after="283"/>
        <w:jc w:val="left"/>
        <w:rPr>
          <w:rFonts w:ascii="Times New Roman" w:hAnsi="Times New Roman"/>
          <w:sz w:val="20"/>
        </w:rPr>
      </w:pPr>
      <w:r>
        <w:rPr>
          <w:rFonts w:ascii="Times New Roman" w:hAnsi="Times New Roman"/>
          <w:b/>
          <w:i/>
          <w:color w:val="000000"/>
          <w:sz w:val="20"/>
        </w:rPr>
        <w:t>Health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health plans, employers and government entities, the Amwell Platform enables a member-centric hybrid care experience, seamlessly connecting with current technology investments and offering an open architecture that allows simple integration of future innovation. The Amwell Platform enables a broad set of use cases, including primary, urgent, mental health, specialty, and chronic care. Our virtual primary care solution offers a primary care navigation hub that supports a whole-person, longitudinal care experience for members, integrating virtual visits with digital behavioral health tools and condition-specific automated care programs, with escalation back to virtual and/or in person care, if needed. Our urgent care solution helps members conveniently and effectively address unplanned care needs without visiting the emergency department or local urgent care facility, driving quality outcomes at a lower cost.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typical health plan contract includes a recurring subscription fee based on the number of members who have access to the Amwell Platform plus additional subscription fees associated with add-on programs that extend from urgent care services to longitudinal care. As the health plan expands its offerings on the Amwell Platform through additional programs or additional covered lives, there is a corresponding increase in subscription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health plan clients also purchase clinical services that leverage our AMG network. These visit consultations are charged on a fee-for-service basis and range in price based on the type of consultation and the specialty of the provider.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Government Healthcare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offer new tailored healthcare solutions for government clients that provide efficient and accessible care options to meet the diverse needs of government healthcare systems, personnel and their families.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Amwell Platform enables government healthcare providers to extend care beyond traditional settings, reaching personnel wherever they are stationed. With both on-demand and scheduled care options, we support a wide range of healthcare needs, including urgent care, primary care, behavioral health, chronic disease management, and specialty consultations.</w:t>
      </w:r>
    </w:p>
    <w:p>
      <w:pPr>
        <w:pStyle w:val="TextBody"/>
        <w:bidi w:val="0"/>
        <w:spacing w:before="360" w:after="283"/>
        <w:jc w:val="left"/>
        <w:rPr>
          <w:rFonts w:ascii="Times New Roman" w:hAnsi="Times New Roman"/>
          <w:sz w:val="20"/>
        </w:rPr>
      </w:pPr>
      <w:r>
        <w:rPr>
          <w:rFonts w:ascii="Times New Roman" w:hAnsi="Times New Roman"/>
          <w:b/>
          <w:i/>
          <w:color w:val="000000"/>
          <w:sz w:val="20"/>
        </w:rPr>
        <w:t>Visits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Amwell’s clinical affiliate AMG has built a network of providers who are licensed and credentialed to deliver care on the Amwell Platform across the entire United States. This clinical network is designed and operated in a way that allows us to meet the aggregate visit demand requirements of our health plan and health system clients, spanning a broad mix of specialties, including Family Medicine, Lactation, Nutrition, Psychiatry, Therapy and Women's Health.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AMG earns fee-for-service revenue for each episode of care delivered on the Amwell Platform by its providers with fees varying by physician specialty or clinical program. These clinical fees vary significantly per consultation or case based on the specialty and may require an additional module subscription.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Fees received from AMG-related visits were $28.9 million and $26.6 million for the three months ended March 31, 2026 and 2025,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Services &amp; Carepoint Devices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offer a full suite of paid, supporting services to our clients to enable their virtual care offerings, including professional services to facilitate virtual care implementation, workflow design, systems integration and service expansion. To help our clients promote adoption and utilization, we offer patient and provider engagement services through our internal digital engagement agency. </w:t>
      </w:r>
    </w:p>
    <w:p>
      <w:pPr>
        <w:pStyle w:val="TextBody"/>
        <w:bidi w:val="0"/>
        <w:spacing w:before="120" w:after="283"/>
        <w:jc w:val="left"/>
        <w:rPr>
          <w:rFonts w:ascii="Times New Roman" w:hAnsi="Times New Roman"/>
          <w:sz w:val="20"/>
        </w:rPr>
      </w:pPr>
      <w:r>
        <w:rPr>
          <w:rFonts w:ascii="Times New Roman" w:hAnsi="Times New Roman"/>
          <w:color w:val="000000"/>
          <w:sz w:val="20"/>
        </w:rPr>
        <w:t>Amwell Carepoint</w:t>
      </w:r>
      <w:r>
        <w:rPr>
          <w:rFonts w:ascii="Times New Roman" w:hAnsi="Times New Roman"/>
          <w:color w:val="000000"/>
          <w:sz w:val="13"/>
        </w:rPr>
        <w:t>TM</w:t>
      </w:r>
      <w:r>
        <w:rPr>
          <w:rFonts w:ascii="Times New Roman" w:hAnsi="Times New Roman"/>
          <w:color w:val="000000"/>
          <w:sz w:val="20"/>
        </w:rPr>
        <w:t xml:space="preserve"> devices enable healthcare providers to leverage proprietary carts and transform existing tablets and TVs into digital access points in clinical settings, helping to address personnel shortages and access limitations. Our proprietary Carepoint devices coupled with our Carepoint Calling technology enables providers to deliver digital care into clinical locations, such as the emergency department, community hospitals, clinics, and hospital-at-home as well as into community settings such as retail stores,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employer sites, skilled nursing facilities, correctional facilities, and schools. Our Virtual Nursing and patient monitoring (eSitter) offerings leverage these Carepoint devices to augment on-site nurse teams with virtual staff, and leverage technology to increase patient safety and nurse efficiencies. These devices are built to rigorous safety and clinical standards and have advanced features including far-end camera controls, fleet monitoring and connectivity to a variety of peripherals, including diagnostic scopes and heart, lungs, stomach, and ear examination tools. Our Carepoint portfolio supports a range of uses, including multi-way video, phone connectivity and secure messaging to bring care teams to patients and members in the most efficient way possible.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Fees received from the provision of services and Carepoint devices were $1.1 million and $8.0 million for the three months ended March 31, 2026 and 2025,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Key Metrics and Factors Affecting Our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monitor the following key metrics to help us evaluate our business, identify trends affecting our business, formulate business plans and make strategic decisions. While these metrics present significant opportunities for us, they also represent the challenges that we must successfully address in order to grow our business and improve the results of our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Digital Care Utilization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Digital and hybrid care utilization is a key driver of our business. A client’s overall utilization of its digital care platform provides an important measure of the value they derive and drives our business in three important ways. First, to the extent a client succeeds with its digital care program and sees good usage, they are more likely to renew and potentially expand their contract with us. Second, our health systems agreements typically include a certain number of visits conducted by their own providers annually and provide that as certain volume thresholds are exceeded, its annual license fees will rise to reflect this growing value. Third, to the extent that clients utilize provider services from AMG, Amwell derives revenue from clinical fees. We expect that our future revenues will be driven by the growing adoption of digital and hybrid care and our ability to maintain and grow market share within that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three months ended March 31, 2026, our clients completed a total of 1.1 million visits using the Amwell Platform, while in the three months ended March 31, 2025, 1.3 million visits were completed. AMG providers accounted for 36% and 29% of total visits performed using the Amwell Platform during the three months ended March 31, 2026 and 2025, respectively.</w:t>
      </w:r>
    </w:p>
    <w:p>
      <w:pPr>
        <w:pStyle w:val="TextBody"/>
        <w:bidi w:val="0"/>
        <w:jc w:val="left"/>
        <w:rPr/>
      </w:pPr>
      <w:r>
        <w:rPr/>
        <w:t> </w:t>
      </w:r>
    </w:p>
    <w:tbl>
      <w:tblPr>
        <w:tblW w:w="5930" w:type="dxa"/>
        <w:jc w:val="left"/>
        <w:tblInd w:w="0" w:type="dxa"/>
        <w:tblLayout w:type="fixed"/>
        <w:tblCellMar>
          <w:top w:w="28" w:type="dxa"/>
          <w:left w:w="28" w:type="dxa"/>
          <w:bottom w:w="28" w:type="dxa"/>
          <w:right w:w="28" w:type="dxa"/>
        </w:tblCellMar>
      </w:tblPr>
      <w:tblGrid>
        <w:gridCol w:w="1741"/>
        <w:gridCol w:w="146"/>
        <w:gridCol w:w="148"/>
        <w:gridCol w:w="947"/>
        <w:gridCol w:w="146"/>
        <w:gridCol w:w="146"/>
        <w:gridCol w:w="737"/>
        <w:gridCol w:w="1603"/>
        <w:gridCol w:w="31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614"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Overall Quarterly Visits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Quarter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Overall Visits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Performed by Client Providers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Regulatory Environment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are subject to comprehensive United States federal, state and local regulations as well as international regulation in the jurisdictions in which we do business. Our ability to operate profitably will depend in part upon our ability, and that of our affiliated providers, to maintain all necessary licenses and to operate in compliance with applicable laws and rules. During the COVID-19 pandemic, state and federal regulatory authorities loosened or removed a number of regulatory requirements in order to increase the availability of digital care services. For example, changes were made to the Medicare and Medicaid programs (through waivers and other regulatory authority) to increase access to digital care services by, among other things, increasing reimbursement, permitting the enrollment of out of state providers and eliminating prior authorization requirements. Most Medicare reimbursement flexibilities have been extended through December 31, 2027, including a waiver for geographic site restrictions (patient may be located at home), the expansion of eligible provider types, and coverage for audio-only consults.</w:t>
      </w:r>
    </w:p>
    <w:p>
      <w:pPr>
        <w:pStyle w:val="TextBody"/>
        <w:bidi w:val="0"/>
        <w:spacing w:before="360" w:after="283"/>
        <w:jc w:val="left"/>
        <w:rPr>
          <w:rFonts w:ascii="Times New Roman" w:hAnsi="Times New Roman"/>
          <w:sz w:val="20"/>
        </w:rPr>
      </w:pPr>
      <w:r>
        <w:rPr>
          <w:rFonts w:ascii="Times New Roman" w:hAnsi="Times New Roman"/>
          <w:b/>
          <w:i/>
          <w:color w:val="000000"/>
          <w:sz w:val="20"/>
        </w:rPr>
        <w:t>Seasonality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Visit volumes typically follow the annual flu season, rising during quarter four and quarter one and falling in the summer months. While we sell to and implement our solutions to clients year-round, we experience some seasonality in terms of when we enter into agreements with our clients and when we launch our solutions to members.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Non-GAAP Financial Measures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our financial results determined in accordance with GAAP, we believe adjusted EBITDA, a non-GAAP measure, is useful in evaluating our operating performance. We use adjusted EBITDA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In particular, we believe that the use of adjusted EBITDA is helpful to our investors as it is a metric used by management in assessing the health of our 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 as a tool for comparison. A reconciliation is provided below for our non-GAAP financial measure to the most directly comparable financial measure stated in accordance with GAAP. Investors are encouraged to review the related GAAP financial measure and the reconciliation of this non-GAAP financial measure to their most directly comparable GAAP financial measures, and not to rely on any single financial measure to evaluate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Adjusted EBITDA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is a key performance measure that our management uses to assess our operating performance. Because adjusted EBITDA facilitates internal comparisons of our historical operating performance on a more consistent basis, we use this measure for business planning purposes and in evaluating acquisition opportunities.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calculate adjusted EBITDA as net loss adjusted to exclude (i) interest income and other income (expense), net, (ii) net gain on divestiture, (iii) income tax benefit and expense, (iv) depreciation and amortization, (v) stock-based compensation expense and (vi) severance and strategic transformation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a reconciliation of adjusted EBITDA from the most comparable GAAP measure, net loss, for the three months ended March 31, 2026 and 2025: </w:t>
      </w:r>
    </w:p>
    <w:p>
      <w:pPr>
        <w:pStyle w:val="TextBody"/>
        <w:bidi w:val="0"/>
        <w:jc w:val="left"/>
        <w:rPr/>
      </w:pPr>
      <w:r>
        <w:rPr/>
        <w:t> </w:t>
      </w:r>
    </w:p>
    <w:tbl>
      <w:tblPr>
        <w:tblW w:w="6746" w:type="dxa"/>
        <w:jc w:val="left"/>
        <w:tblInd w:w="0" w:type="dxa"/>
        <w:tblLayout w:type="fixed"/>
        <w:tblCellMar>
          <w:top w:w="28" w:type="dxa"/>
          <w:left w:w="28" w:type="dxa"/>
          <w:bottom w:w="28" w:type="dxa"/>
          <w:right w:w="28" w:type="dxa"/>
        </w:tblCellMar>
      </w:tblPr>
      <w:tblGrid>
        <w:gridCol w:w="3991"/>
        <w:gridCol w:w="146"/>
        <w:gridCol w:w="229"/>
        <w:gridCol w:w="801"/>
        <w:gridCol w:w="180"/>
        <w:gridCol w:w="158"/>
        <w:gridCol w:w="229"/>
        <w:gridCol w:w="801"/>
        <w:gridCol w:w="21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and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gain on divestiture</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Severance and strategic transformation costs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Severance and strategic transformation costs include expenses associated with the termination of employees and expenses (including abandonment of our corporate headquarters) that focus on transforming the strategy of the Company’s sales and growth organization as well as our overall cost structure during the three months ended March 31,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gain on divestiture is related to the gain recognized on the sale of our APC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of the limitations of adjusted EBITDA include (i) adjusted EBITDA does not properly reflect capital commitments to be paid in the future, and (ii) although depreciation and amortization are non-cash charges, the underlying assets may need to be replaced and adjusted EBITDA does not reflect these capital expenditures. Our adjusted EBITDA may not be comparable to similarly titled measures of other companies because they may not calculate adjusted EBITDA in the same manner as we calculate the measure, limiting its usefulness as a comparative measure. In evaluating adjusted EBITDA, you should be aware that in the future we will incur expenses similar to the adjustments in this presentation. Our presentation of adjusted EBITDA should not be construed as an inference that our future results will be unaffected by these expenses or any unusual or non-recurring items. Adjusted EBITDA should not be considered as an alternative to loss before benefit from income taxes, net loss, earnings per share, or any other performance measures derived in accordance with U.S. GAAP. When evaluating our performance, you should consider adjusted EBITDA alongside other financial performance measures, including our net loss and other GAAP results.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Severance and strategic transformation costs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In the three months ended March 31, 2026 and 2025, the Company recorded charges of $4.5 million and $3.5 million, respectively, in connection with severance and strategic transformation costs. The Company has executed a series of individual actions designed to maintain or improve our operating results and profitability. The Company continues to evaluate potential actions and may incur additional strategic transformation costs in future periods.</w:t>
      </w:r>
    </w:p>
    <w:p>
      <w:pPr>
        <w:pStyle w:val="TextBody"/>
        <w:bidi w:val="0"/>
        <w:jc w:val="left"/>
        <w:rPr>
          <w:rFonts w:ascii="Times New Roman" w:hAnsi="Times New Roman"/>
          <w:color w:val="000000"/>
          <w:sz w:val="20"/>
        </w:rPr>
      </w:pPr>
      <w:r>
        <w:rPr>
          <w:rFonts w:ascii="Times New Roman" w:hAnsi="Times New Roman"/>
          <w:color w:val="000000"/>
          <w:sz w:val="20"/>
        </w:rPr>
        <w:t>Our strategic transformation actions include headcount reductions, lease abandonment impairments and other related transitional amounts to maintain our competitive footprint. With the lease abandonment of our corporate headquarters we recognized $3.4 million in accelerated right of use asset amortization in the period. Strategic transformation actions are generally funded within twelve months of initiation and are funded by cash flows from operating activities and existing cash balances. We may incur additional strategic transformation costs in order to align our recurring cost structure with our current revenue profile. The timing and amount of the incurrence of such future strategic transformation costs are dependent on market conditions, customer actions and other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further information, see Note 14, "Severance and strategic transformation costs," to the condensed consolidated financial statements included in this Report.</w:t>
      </w:r>
    </w:p>
    <w:p>
      <w:pPr>
        <w:pStyle w:val="TextBody"/>
        <w:bidi w:val="0"/>
        <w:spacing w:before="360" w:after="283"/>
        <w:jc w:val="left"/>
        <w:rPr>
          <w:rFonts w:ascii="Times New Roman" w:hAnsi="Times New Roman"/>
          <w:sz w:val="20"/>
        </w:rPr>
      </w:pPr>
      <w:r>
        <w:rPr>
          <w:rFonts w:ascii="Times New Roman" w:hAnsi="Times New Roman"/>
          <w:b/>
          <w:color w:val="000000"/>
          <w:sz w:val="20"/>
        </w:rPr>
        <w:t>Components of Statement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demonstrated the strength of our revenue as a direct result of the increasing acceptance of digital care, our penetration of the market, and the successful launch of new and expanded products that enable broadened applications for care delivered virtually. Revenue performance is reflective of the strong foundation that has been built, focused around health plans, health systems, and our provider network.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revenues from the use of the Amwell Platform in the form of recurring subscription fees for use, and related services and Carepoint sales. We also generate revenue from the performance of AMG patient visits. Subscription revenue is impacted by timing of revenue recognition.</w:t>
      </w:r>
    </w:p>
    <w:p>
      <w:pPr>
        <w:pStyle w:val="TextBody"/>
        <w:bidi w:val="0"/>
        <w:spacing w:before="360" w:after="283"/>
        <w:jc w:val="left"/>
        <w:rPr>
          <w:rFonts w:ascii="Times New Roman" w:hAnsi="Times New Roman"/>
          <w:sz w:val="20"/>
        </w:rPr>
      </w:pPr>
      <w:r>
        <w:rPr>
          <w:rFonts w:ascii="Times New Roman" w:hAnsi="Times New Roman"/>
          <w:b/>
          <w:i/>
          <w:color w:val="000000"/>
          <w:sz w:val="20"/>
        </w:rPr>
        <w:t>Cost of Revenues, Excluding Amortization of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revenues primarily consist of hosting fees paid to our hosting providers, costs incurred in connection with our professional services, technical and hosting support, and costs for running our affiliated provider network operations team. These costs primarily include employee-related expenses (including salaries, bonuses, benefits, stock-based compensation and travel).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revenues are primarily driven by the hosting and technical support required to service our clients and the size of our provider network. Our business model is designed to be scalable and to leverage fixed costs to generate higher revenues. While we currently expect increased investments to further enhance our offering, we also expect increased efficiencies and economies of scale. Our quarterly cost of revenues as a percentage of revenues is expected to fluctuate from period to period depending on the interplay of these aforementioned factors. </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include personnel and related expenses for software and hardware engineering, information technology infrastructure, security and compliance and product development (inclusive of stock-based compensation for our research and development employees). Research and development expenses also include the periodic outsourcing of similar functions to third party specialists. We have made an effort to optimize our resourcing structure with a mix of nearshore and offshore employees and contractors, resulting in a more efficient cost structure. We continue to enhance the Amwell Platform through additional functionality. We believe increased spending in prior years was a temporary investment to accelerate development of a more scalable and economically beneficial solution that will properly position the Company to benefit in the long term and have seen decline during the year as we return to normal levels of spend in future periods.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expenses may fluctuate as a percentage of our total revenue from period to period due to the seasonality of our total revenue and the timing and extent of our research and development expenses based on customer demand and emerging market trends.</w:t>
      </w:r>
    </w:p>
    <w:p>
      <w:pPr>
        <w:pStyle w:val="TextBody"/>
        <w:bidi w:val="0"/>
        <w:spacing w:before="360" w:after="283"/>
        <w:jc w:val="left"/>
        <w:rPr>
          <w:rFonts w:ascii="Times New Roman" w:hAnsi="Times New Roman"/>
          <w:sz w:val="20"/>
        </w:rPr>
      </w:pPr>
      <w:r>
        <w:rPr>
          <w:rFonts w:ascii="Times New Roman" w:hAnsi="Times New Roman"/>
          <w:b/>
          <w:i/>
          <w:color w:val="000000"/>
          <w:sz w:val="20"/>
        </w:rPr>
        <w:t>Sales and Marketing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expenses consist primarily of employee-related expenses, including salaries, benefits, commissions, travel and stock-based compensation costs for our employees engaged in commercial activities. We will continue to invest appropriately in sales expenses as we look to grow with new prospects and expand the business of our existing clients. We will continue to elevate the skills and impact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our sales personnel and related account management teams as we look to provide a differentiated and enhanced client experience to our growing client base as well as identifying new strategic market opportunities.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Marketing costs consist primarily of personnel and related expenses (inclusive of stock-based compensation) for our marketing staff that primarily support the sales organization and client engagement. Marketing costs also include third-party independent research, digital marketing campaigns, participation in trade shows, brand messaging, public relations costs, and the costs of communication materials that are produced to generate awareness and utilization of the Amwell Platform among our clients and their users.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sales and marketing expense to remain consistent in future periods. Our sales and marketing expenses may fluctuate as a percentage of our total revenue from period to period due to the seasonality of our total revenue and the timing and extent of our advertising and marketing expenses.</w:t>
      </w:r>
    </w:p>
    <w:p>
      <w:pPr>
        <w:pStyle w:val="TextBody"/>
        <w:bidi w:val="0"/>
        <w:spacing w:before="36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include personnel and related expenses, and professional fees incurred by finance, legal, human resources, information technology, our executives, and executive administration staff. They also include stock-based compensation for employees in these departments and expenses related to auditing, consulting, legal, and corporate insurance.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general and administrative expenses to remain relatively flat in future periods. Our general and administrative expenses may fluctuate as a percentage of our total revenue from period to period due to the timing and extent of our general and administrative expenses. </w:t>
      </w:r>
    </w:p>
    <w:p>
      <w:pPr>
        <w:pStyle w:val="TextBody"/>
        <w:bidi w:val="0"/>
        <w:spacing w:before="360" w:after="283"/>
        <w:jc w:val="left"/>
        <w:rPr>
          <w:rFonts w:ascii="Times New Roman" w:hAnsi="Times New Roman"/>
          <w:sz w:val="20"/>
        </w:rPr>
      </w:pPr>
      <w:r>
        <w:rPr>
          <w:rFonts w:ascii="Times New Roman" w:hAnsi="Times New Roman"/>
          <w:b/>
          <w:i/>
          <w:color w:val="000000"/>
          <w:sz w:val="20"/>
        </w:rPr>
        <w:t>Depreciation and Amortization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Depreciation and amortization expense includes the amortization of intangible assets and depreciation related to our fixed assets. Amortization of intangible assets consists of the amortization of acquisition-related intangible assets, which are customer relationships, technology and trade names, as well as the amortization of capitalized software costs.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Income and 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balance of interest income and other income (expense), net, consists predominantly of interest income on our money-market investments. We did not incur material interest expenses in the period as there were no outstanding debts or notes payables.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Gain on divestiture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and Aligned entered into an asset purchase agreement relating to the sale of all property and assets owned, leased or licensed by Aligned that are primarily used or held for use in connection with the APC Business. In connection with such purchase and sale, the buyer assumed specified contracts and the related accounts receivable and all accounts payable and accrued expenses of the APC Business, and Dr. Cynthia Horner transferred the ownership of Asana to a doctor affiliated with the buyer. We divested the APC Business as it was determined the offering no longer fit our goals around profitability and growth. Streamlining our service offerings will enable us to focus our resources on the Amwell Platform, strategic customers, and our path to profitability. The divestiture of APC did not represent a strategic shift that would have a major effect on the Company's consolidated results of operations, and therefore, its results of operations were not reported as discontinued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income tax expense is primarily due to state and foreign 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tax assets are reduced by a valuation allowance to the extent management believes it is not more likely than not to be realized. The ultimate realization of deferred tax assets is dependent upon the generation of future taxable income. Management makes estimates and judgments about future taxable income based on assumptions that are consistent with our plans and estimates.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Consolidated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our summarized condensed consolidated statement of operations data for the three months ended March 31, 2026 and 2025 and the dollar and percentage change between the respective periods: </w:t>
      </w:r>
    </w:p>
    <w:p>
      <w:pPr>
        <w:pStyle w:val="TextBody"/>
        <w:bidi w:val="0"/>
        <w:jc w:val="left"/>
        <w:rPr/>
      </w:pPr>
      <w:r>
        <w:rPr/>
        <w:t> </w:t>
      </w:r>
    </w:p>
    <w:tbl>
      <w:tblPr>
        <w:tblW w:w="9497" w:type="dxa"/>
        <w:jc w:val="left"/>
        <w:tblInd w:w="0" w:type="dxa"/>
        <w:tblLayout w:type="fixed"/>
        <w:tblCellMar>
          <w:top w:w="28" w:type="dxa"/>
          <w:left w:w="28" w:type="dxa"/>
          <w:bottom w:w="28" w:type="dxa"/>
          <w:right w:w="28" w:type="dxa"/>
        </w:tblCellMar>
      </w:tblPr>
      <w:tblGrid>
        <w:gridCol w:w="5166"/>
        <w:gridCol w:w="146"/>
        <w:gridCol w:w="181"/>
        <w:gridCol w:w="571"/>
        <w:gridCol w:w="151"/>
        <w:gridCol w:w="146"/>
        <w:gridCol w:w="181"/>
        <w:gridCol w:w="571"/>
        <w:gridCol w:w="151"/>
        <w:gridCol w:w="146"/>
        <w:gridCol w:w="181"/>
        <w:gridCol w:w="571"/>
        <w:gridCol w:w="151"/>
        <w:gridCol w:w="146"/>
        <w:gridCol w:w="146"/>
        <w:gridCol w:w="376"/>
        <w:gridCol w:w="516"/>
      </w:tblGrid>
      <w:tr>
        <w:trPr/>
        <w:tc>
          <w:tcPr>
            <w:tcW w:w="5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5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Three Months Ended March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Change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54,883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66,833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Costs and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Costs of revenue, excluding depreciation and</w:t>
              <w:br/>
              <w:t>   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26,919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31,574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22,102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17,701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23,192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7,563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Total costs and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72,307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97,244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(24,937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(17,424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(30,411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12,987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Interest income and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gain on divestiture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7,027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10,713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(3,686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Loss before expense from income taxes and loss from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(17,010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Loss from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(18,356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loss attributable to American Well</w:t>
              <w:br/>
              <w:t>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(10,886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(18,704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7,818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2026, subscription revenue decreased $7.3 million due to timing of revenue recognition with our strategic customers. Other revenue decreased $6.9 million primarily related to professional services performed in the prior period around the integration of our strategic customers. These decreases were offset by an increase in visit revenue of $2.3 million due to the visit mix being weighted more to special program visits.</w:t>
      </w:r>
    </w:p>
    <w:p>
      <w:pPr>
        <w:pStyle w:val="TextBody"/>
        <w:bidi w:val="0"/>
        <w:spacing w:before="360" w:after="283"/>
        <w:jc w:val="left"/>
        <w:rPr>
          <w:rFonts w:ascii="Times New Roman" w:hAnsi="Times New Roman"/>
          <w:sz w:val="20"/>
        </w:rPr>
      </w:pPr>
      <w:r>
        <w:rPr>
          <w:rFonts w:ascii="Times New Roman" w:hAnsi="Times New Roman"/>
          <w:b/>
          <w:i/>
          <w:color w:val="000000"/>
          <w:sz w:val="20"/>
        </w:rPr>
        <w:t>Costs of Revenue, Excluding Amortization of Acquired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2026, the decrease in cost of revenue was primarily driven by a decrease in employee costs of $3.2 million due to a headcount reduction of 30% period over period. There was also a decrease in marketing services for customers of $1.6 million.</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2026, there was a decrease in employee-related costs of $8.0 million (due to headcount reduction of 29% period over period and reduced stock compensation expense). There was also a decrease of $2.1 million in consulting spend due to cost savings measures put into place. These decreases were offset by a one time $0.9 million lease abandonment write-off.</w:t>
      </w:r>
    </w:p>
    <w:p>
      <w:pPr>
        <w:pStyle w:val="TextBody"/>
        <w:bidi w:val="0"/>
        <w:spacing w:before="360" w:after="283"/>
        <w:jc w:val="left"/>
        <w:rPr>
          <w:rFonts w:ascii="Times New Roman" w:hAnsi="Times New Roman"/>
          <w:sz w:val="20"/>
        </w:rPr>
      </w:pPr>
      <w:r>
        <w:rPr>
          <w:rFonts w:ascii="Times New Roman" w:hAnsi="Times New Roman"/>
          <w:b/>
          <w:i/>
          <w:color w:val="000000"/>
          <w:sz w:val="20"/>
        </w:rPr>
        <w:t>Sales and Marketing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2026, there was a decrease in employee-related costs of $4.4 million (due to headcount reduction of 53% period over period and reduced stock compensation expense), and due to cost savings measures put into place a decrease in conference spend of $0.5 million and consulting spend of $0.3 million. These decreases were offset by a one time $0.6 million lease abandonment write-off.</w:t>
      </w:r>
    </w:p>
    <w:p>
      <w:pPr>
        <w:pStyle w:val="TextBody"/>
        <w:bidi w:val="0"/>
        <w:spacing w:before="36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2026, the decrease in general and administrative expense was driven by a decrease in employee-related costs of $9.3 million. The employee related costs were driven primarily by the decrease in stock compensation expense as higher value historic awards had become fully expensed, as well as headcount reductions of 34% period over period. The decrease was partially offset by an increase in legal spend during the period of $1.2 million, an increase in bad debt related to historical visits of $1.8 million and a one time $0.9 million lease abandonment write-off.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Depreciation and Amortization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 remained consistent for the three months ended March 31, 2026.</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Income and Other (Expense)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March 31, 2026 and 2025, interest income and other (expense) income, net consist entirely of interest income and gains from our cash equivalents and short-term investments.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Gain on divestiture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gain of divesture relates to the gain from finalization of the contingent consideration related to the APC sale.</w:t>
      </w:r>
    </w:p>
    <w:p>
      <w:pPr>
        <w:pStyle w:val="TextBody"/>
        <w:bidi w:val="0"/>
        <w:spacing w:before="360" w:after="283"/>
        <w:jc w:val="left"/>
        <w:rPr>
          <w:rFonts w:ascii="Times New Roman" w:hAnsi="Times New Roman"/>
          <w:sz w:val="20"/>
        </w:rPr>
      </w:pPr>
      <w:r>
        <w:rPr>
          <w:rFonts w:ascii="Times New Roman" w:hAnsi="Times New Roman"/>
          <w:b/>
          <w:i/>
          <w:color w:val="000000"/>
          <w:sz w:val="20"/>
        </w:rPr>
        <w:t>Expense from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tax expense was $0.2 million for the three months ended March 31, 2026, compared to income tax expense was $0.6 million for the three months ended March 31, 2025. </w:t>
      </w:r>
    </w:p>
    <w:p>
      <w:pPr>
        <w:pStyle w:val="TextBody"/>
        <w:bidi w:val="0"/>
        <w:spacing w:before="360" w:after="283"/>
        <w:jc w:val="left"/>
        <w:rPr>
          <w:rFonts w:ascii="Times New Roman" w:hAnsi="Times New Roman"/>
          <w:sz w:val="20"/>
        </w:rPr>
      </w:pPr>
      <w:r>
        <w:rPr>
          <w:rFonts w:ascii="Times New Roman" w:hAnsi="Times New Roman"/>
          <w:b/>
          <w:i/>
          <w:color w:val="000000"/>
          <w:sz w:val="20"/>
        </w:rPr>
        <w:t>Loss from Equity Method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2019, the Company and Cleveland Clinic partnered to form a joint venture, under the name CCAW, JV LLC, to provide broad access to comprehensive and high acuity care services via virtual care. The Company does not have a controlling financial interest in CCAW, JV LLC, but it does have the ability to exercise significant influence over the operating and financial policies of CCAW, JV LLC. Therefore, the Company accounts for its investments in CCAW, JV LLC using the equity method of accounting.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2025, the companies determined that these care services could be provided through partnering between the two entities and that the joint venture was no longer necessary to achieve care delivery, as a result the companies entered into an agreement for the transfer of the VSO Business and complete liquidation and dissolution of the joint venture. Certain business activities will continue through the transition period which will conclude in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the Company recognized no loss or income as its proportionate share of the joint venture as the investment was written down to zero. During the three months ended March 31, 2025, the Company recognized a loss of $0.8 million, as its proportionate share of the joint venture results of operations.</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a summary of our cash flow activity for the periods set forth below: </w:t>
      </w:r>
    </w:p>
    <w:p>
      <w:pPr>
        <w:pStyle w:val="TextBody"/>
        <w:bidi w:val="0"/>
        <w:jc w:val="left"/>
        <w:rPr/>
      </w:pPr>
      <w:r>
        <w:rPr/>
        <w:t> </w:t>
      </w:r>
    </w:p>
    <w:tbl>
      <w:tblPr>
        <w:tblW w:w="6957" w:type="dxa"/>
        <w:jc w:val="left"/>
        <w:tblInd w:w="0" w:type="dxa"/>
        <w:tblLayout w:type="fixed"/>
        <w:tblCellMar>
          <w:top w:w="28" w:type="dxa"/>
          <w:left w:w="28" w:type="dxa"/>
          <w:bottom w:w="28" w:type="dxa"/>
          <w:right w:w="28" w:type="dxa"/>
        </w:tblCellMar>
      </w:tblPr>
      <w:tblGrid>
        <w:gridCol w:w="4201"/>
        <w:gridCol w:w="146"/>
        <w:gridCol w:w="241"/>
        <w:gridCol w:w="721"/>
        <w:gridCol w:w="189"/>
        <w:gridCol w:w="166"/>
        <w:gridCol w:w="241"/>
        <w:gridCol w:w="841"/>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Statements of Cash Flows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Financing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principal sources of liquidity were cash and cash equivalents totaling $179.2 million and $182.3 million as of March 31, 2026 and December 31, 2025, respectively, which were held for a variety of growth initiatives and investments as well as working capital purposes. Our cash and cash equivalents are comprised of money market funds.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shown in the accompanying condensed consolidated financial statements, the Company incurred a loss from operations of $17.4 million and a net loss of $10.3 million for the three months ended March 31, 2026 and had an accumulated deficit of $2,072.5 million as of March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no debt as of March 31, 2026 or December 31, 2025 and expects to generate operating losses in future periods.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our existing cash and cash equivalents will be sufficient to meet our working capital and capital expenditure needs for at least the next 12 months from the issuance date of the financial statements. Our future capital requirements will depend on many factors including our growth rate, contract renewal activity, number of consultations on the Amwell Platform, the timing and extent of spending to support product development efforts, our expansion of sales and marketing activities, the introduction of new and enhanced services offerings, and the continuing market acceptance of digital care services. We may in the future enter into arrangements to acquire or invest in complementary businesses, services and technologies and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financial condition and results of operations would be adversely affected.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Three months ended March 31, 2026, vs. three months ended March 31, 2025</w:t>
      </w:r>
    </w:p>
    <w:p>
      <w:pPr>
        <w:pStyle w:val="TextBody"/>
        <w:bidi w:val="0"/>
        <w:spacing w:before="120" w:after="283"/>
        <w:jc w:val="left"/>
        <w:rPr>
          <w:rFonts w:ascii="Times New Roman" w:hAnsi="Times New Roman"/>
          <w:sz w:val="20"/>
        </w:rPr>
      </w:pPr>
      <w:r>
        <w:rPr>
          <w:rFonts w:ascii="Times New Roman" w:hAnsi="Times New Roman"/>
          <w:b/>
          <w:i/>
          <w:color w:val="000000"/>
          <w:sz w:val="20"/>
        </w:rPr>
        <w:t>Cash 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operating activities was $1.0 million for the three months ended March 31, 2026. The primary driver of this use of cash was our net loss of $10.3 million. The net loss was partially offset by non-cash expenses of $9.2 million (primarily impairment of right of use asset of $3.4 million, stock-based compensation of $2.3 million and depreciation and amortization of $7.6 million, offset by net gain on divestiture of $7.0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operating activities was $25.1 million for the three months ended March 31, 2025. The primary driver of this use of cash was our net loss of $18.4 million. The net loss was partially offset by non-cash expenses of $6.0 million (primarily stock-based compensation of $7.3 million and depreciation and amortization of $7.8 million, offset by net gain on divestiture of $10.7 million).</w:t>
      </w:r>
    </w:p>
    <w:p>
      <w:pPr>
        <w:pStyle w:val="TextBody"/>
        <w:bidi w:val="0"/>
        <w:spacing w:before="360" w:after="283"/>
        <w:jc w:val="left"/>
        <w:rPr>
          <w:rFonts w:ascii="Times New Roman" w:hAnsi="Times New Roman"/>
          <w:sz w:val="20"/>
        </w:rPr>
      </w:pPr>
      <w:r>
        <w:rPr>
          <w:rFonts w:ascii="Times New Roman" w:hAnsi="Times New Roman"/>
          <w:b/>
          <w:i/>
          <w:color w:val="000000"/>
          <w:sz w:val="20"/>
        </w:rPr>
        <w:t>Cash (Used in) Provided by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used in investing activities was $2.8 million for the three months ended March 31, 2026. Cash used in investing activities consisted of $2.8 of capitalized software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provided by investing activities was $19.4 million for the three months ended March 31, 2025. Cash provided by investing activities consisted of $20.4 million in proceeds from divestiture offset by $1.0 million minority investment in a strategic technology partner. </w:t>
      </w:r>
    </w:p>
    <w:p>
      <w:pPr>
        <w:pStyle w:val="TextBody"/>
        <w:bidi w:val="0"/>
        <w:spacing w:before="180" w:after="283"/>
        <w:jc w:val="left"/>
        <w:rPr>
          <w:rFonts w:ascii="Times New Roman" w:hAnsi="Times New Roman"/>
          <w:sz w:val="20"/>
        </w:rPr>
      </w:pPr>
      <w:r>
        <w:rPr>
          <w:rFonts w:ascii="Times New Roman" w:hAnsi="Times New Roman"/>
          <w:b/>
          <w:i/>
          <w:color w:val="000000"/>
          <w:sz w:val="20"/>
        </w:rPr>
        <w:t>Cash Provided by Financing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Cash provided by financing activities for the three months ended March 31, 2026, was $0.3 million. Cash provided by financing activities consisted of $0.3 million of proceeds from the employee stock purchase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Cash provided by financing activities for the three months ended March 31, 2025, was $0.5 million. Cash provided by financing activities consisted of $0.5 million of proceeds from the employee stock purchase plan. </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 </w:t>
      </w:r>
    </w:p>
    <w:p>
      <w:pPr>
        <w:pStyle w:val="TextBody"/>
        <w:bidi w:val="0"/>
        <w:spacing w:before="360" w:after="283"/>
        <w:jc w:val="left"/>
        <w:rPr>
          <w:rFonts w:ascii="Times New Roman" w:hAnsi="Times New Roman"/>
          <w:sz w:val="20"/>
        </w:rPr>
      </w:pPr>
      <w:r>
        <w:rPr>
          <w:rFonts w:ascii="Times New Roman" w:hAnsi="Times New Roman"/>
          <w:b/>
          <w:color w:val="000000"/>
          <w:sz w:val="20"/>
        </w:rPr>
        <w:t>Contractual Obligations and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there have been no material changes from the contractual obligations and commitments previously disclosed in our Form 10-K.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condensed consolidated financial statements and the related notes thereto are prepared in accordance with GAAP. The preparation of condensed consolidated financial statements in conformity with GAAP requires management to make estimates and assumptions that affect the amounts reported in the condensed consolidated financial statements and accompanying notes. The Company bases its estimates on historical experience, current business factors, and various other assumptions that the Company believes are necessary to consider to form a basis for making judgments about the carrying values of assets and liabilities, the recorded amounts of revenue and expenses, and the disclosure of contingent assets and liabilities. The Company is subject to uncertainties such as the impact of future events, economic and political factors, and changes in the Company’s business environment; therefore, actual results could differ from these estimates. Accordingly, the accounting estimates used in the preparation of the Company’s condensed consolidated financial statements will change as new events occur, as more experience is acquired, as additional information is obtained, and as the Company’s operating environment evolves. For a discussion of our critical accounting policies and estimates see Part II, Item 7, “Management’s Discussion and Analysis of Financial Condition and Results of Operations” in the 2025 Form 10-K. </w:t>
      </w:r>
    </w:p>
    <w:p>
      <w:pPr>
        <w:pStyle w:val="TextBody"/>
        <w:bidi w:val="0"/>
        <w:spacing w:before="360" w:after="283"/>
        <w:jc w:val="left"/>
        <w:rPr>
          <w:rFonts w:ascii="Times New Roman" w:hAnsi="Times New Roman"/>
          <w:sz w:val="20"/>
        </w:rPr>
      </w:pPr>
      <w:r>
        <w:rPr>
          <w:rFonts w:ascii="Times New Roman" w:hAnsi="Times New Roman"/>
          <w:b/>
          <w:color w:val="000000"/>
          <w:sz w:val="20"/>
        </w:rPr>
        <w:t>Recently Issued Accounting Pronouncements Adopted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more information on recently issued accounting pronouncements, see Note 2 to our condensed consolidated financial statements covered under Part I, Item 1 of this Quarterly Report on Form 10-Q. </w:t>
      </w:r>
    </w:p>
    <w:p>
      <w:pPr>
        <w:pStyle w:val="TextBody"/>
        <w:bidi w:val="0"/>
        <w:spacing w:before="360" w:after="283"/>
        <w:jc w:val="left"/>
        <w:rPr>
          <w:rFonts w:ascii="Times New Roman" w:hAnsi="Times New Roman"/>
          <w:sz w:val="20"/>
        </w:rPr>
      </w:pPr>
      <w:r>
        <w:rPr>
          <w:rFonts w:ascii="Times New Roman" w:hAnsi="Times New Roman"/>
          <w:b/>
          <w:color w:val="000000"/>
          <w:sz w:val="20"/>
        </w:rPr>
        <w:t>New Accounting Pronouncements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more information on new accounting pronouncements not yet adopted, see Note 2 to our condensed consolidated financial statements covered under Part I, Item 1 in this Quarterly Report on Form 10-Q. </w:t>
      </w:r>
    </w:p>
    <w:p>
      <w:pPr>
        <w:pStyle w:val="TextBody"/>
        <w:bidi w:val="0"/>
        <w:spacing w:before="360" w:after="283"/>
        <w:jc w:val="left"/>
        <w:rPr>
          <w:rFonts w:ascii="Times New Roman" w:hAnsi="Times New Roman"/>
          <w:sz w:val="20"/>
        </w:rPr>
      </w:pPr>
      <w:bookmarkStart w:id="11" w:name="item_3_qualitative_quantitative_disclosu"/>
      <w:bookmarkEnd w:id="11"/>
      <w:r>
        <w:rPr>
          <w:rFonts w:ascii="Times New Roman" w:hAnsi="Times New Roman"/>
          <w:b/>
          <w:color w:val="000000"/>
          <w:sz w:val="20"/>
        </w:rPr>
        <w:t>Item 3. Qualitative and Quantitative Disclosure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had cash and cash equivalents totaling $179.2 million, and $182.3 million as of March 31, 2026 and December 31, 2025, respectively. These amounts were primarily invested in money markets. The Company held no investments as of March 31, 2026 and December 31, 2025. The cash and cash equivalents are held for a variety of growth and investments as well as working capital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believe that an increase or decrease of 100 basis points in interest rates would have a material effect on our business, financial condition or results of operations. However, our cash equivalents are subject to market risk due to changes in interest rates. Fixed rate securities may have their market value adversely affected due to a rise in interest rates. Due in part to these factors, our future investment income may fall short of expectation due to changes in interest rates or we may suffer losses in principal if we are forced to sell securities that decline in market value due to changes in interest rates.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Fluctuations in the value of our money market funds caused by a change in interest rates (gains or losses on the carrying value) are recorded in other income and are realized only if we sell the underlying securities. </w:t>
      </w:r>
    </w:p>
    <w:p>
      <w:pPr>
        <w:pStyle w:val="TextBody"/>
        <w:bidi w:val="0"/>
        <w:spacing w:before="360" w:after="283"/>
        <w:jc w:val="left"/>
        <w:rPr>
          <w:rFonts w:ascii="Times New Roman" w:hAnsi="Times New Roman"/>
          <w:sz w:val="20"/>
        </w:rPr>
      </w:pPr>
      <w:r>
        <w:rPr>
          <w:rFonts w:ascii="Times New Roman" w:hAnsi="Times New Roman"/>
          <w:b/>
          <w:i/>
          <w:color w:val="000000"/>
          <w:sz w:val="20"/>
        </w:rPr>
        <w:t>Foreign Currency Exchange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a substantial majority of our revenue from client arrangements has been denominated in U.S. dollars. We have limited operations outside the United States. As of March 31, 2026 and December 31, 2025, the Company has foreign subsidiaries in Israel, Ireland, the United Kingdom and Australia, the functional currency of each subsidiary being the New Israeli Shekel, Euro, British pound and Australian dollar, respectively. The Company also has a branch with a functional currency of the New Israeli Shekel. The transactional activity for these entities in the three months ended March 31, 2026 and 2025 was not considered significant. Accordingly, we believe we do not have a material exposure to foreign currency risk. We may choose to focus on international expansion, which may increase our exposure to foreign currency exchange risk in the future. </w:t>
      </w:r>
    </w:p>
    <w:p>
      <w:pPr>
        <w:pStyle w:val="TextBody"/>
        <w:bidi w:val="0"/>
        <w:spacing w:before="360" w:after="283"/>
        <w:jc w:val="left"/>
        <w:rPr>
          <w:rFonts w:ascii="Times New Roman" w:hAnsi="Times New Roman"/>
          <w:sz w:val="20"/>
        </w:rPr>
      </w:pPr>
      <w:r>
        <w:rPr>
          <w:rFonts w:ascii="Times New Roman" w:hAnsi="Times New Roman"/>
          <w:b/>
          <w:i/>
          <w:color w:val="000000"/>
          <w:sz w:val="20"/>
        </w:rPr>
        <w:t>Inflation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believe that inflation had a material effect on our business, financial condition or results of operations in the last two years. If our costs were to become subject to significant inflationary pressures, we may not be able to fully offset such higher costs through price increases. Our inability or failure to do so could harm our business, financial condition or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principal executive officers and principal financial officer, has evaluated the effectiveness of our disclosure controls and procedures (as defined in Rules 13a-15(e) and 15d-15(e) under the Securities Exchange Act of 1934, as amended, or the Exchange Act), as of the end of the period covered by this Quarterly Report on Form 10-Q. Based on this evaluation, our principal executive officers and principal financial officer concluded that as of March 31, 2026, our disclosure controls and procedures were effective. Disclosure controls and procedures are our controls and other procedures that are designed to ensure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principal executive officers and principal financial officer, as appropriate, to allow timely decisions regarding required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changes in our internal control over financial reporting during the quarter ended March 31, 2026, that have materially affected, or are reasonably likely to materially affect, our internal control over financial reporting. </w:t>
      </w:r>
    </w:p>
    <w:p>
      <w:pPr>
        <w:pStyle w:val="TextBody"/>
        <w:bidi w:val="0"/>
        <w:spacing w:before="480" w:after="283"/>
        <w:jc w:val="left"/>
        <w:rPr>
          <w:rFonts w:ascii="Times New Roman" w:hAnsi="Times New Roman"/>
          <w:sz w:val="20"/>
        </w:rPr>
      </w:pPr>
      <w:bookmarkStart w:id="13" w:name="part_ii_or_information"/>
      <w:bookmarkEnd w:id="13"/>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become involved in legal proceedings arising in the ordinary course of our business. We are not presently a party to any legal proceedings that, in the opinion of our management, would individually or taken together have a material adverse effect on our business, financial condition, results of operations or cash flows. Regardless of outcome, litigation can have an adverse impact on us due to defense and settlement costs, diversion of management resources, negative publicity, reputational harm and other factors. </w:t>
      </w:r>
    </w:p>
    <w:p>
      <w:pPr>
        <w:pStyle w:val="TextBody"/>
        <w:bidi w:val="0"/>
        <w:spacing w:before="360" w:after="283"/>
        <w:jc w:val="left"/>
        <w:rPr>
          <w:rFonts w:ascii="Times New Roman" w:hAnsi="Times New Roman"/>
          <w:sz w:val="20"/>
        </w:rPr>
      </w:pPr>
      <w:bookmarkStart w:id="15" w:name="item_1a_risk_factors"/>
      <w:bookmarkEnd w:id="15"/>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material changes to the risk factors previously disclosed in our Form 10-K. For a discussion of potential risks and uncertainties related to our Company see the information in our Form 10-K in the section entitled “Risk Factors.” </w:t>
      </w:r>
    </w:p>
    <w:p>
      <w:pPr>
        <w:pStyle w:val="TextBody"/>
        <w:bidi w:val="0"/>
        <w:spacing w:before="360" w:after="283"/>
        <w:jc w:val="left"/>
        <w:rPr>
          <w:rFonts w:ascii="Times New Roman" w:hAnsi="Times New Roman"/>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sales of unregistered equity securities during the quarter ended March 31, 2026.</w:t>
      </w:r>
    </w:p>
    <w:p>
      <w:pPr>
        <w:pStyle w:val="TextBody"/>
        <w:bidi w:val="0"/>
        <w:spacing w:before="360" w:after="283"/>
        <w:jc w:val="left"/>
        <w:rPr>
          <w:rFonts w:ascii="Times New Roman" w:hAnsi="Times New Roman"/>
          <w:sz w:val="20"/>
        </w:rPr>
      </w:pPr>
      <w:r>
        <w:rPr>
          <w:rFonts w:ascii="Times New Roman" w:hAnsi="Times New Roman"/>
          <w:b/>
          <w:i/>
          <w:color w:val="000000"/>
          <w:sz w:val="20"/>
        </w:rPr>
        <w:t>Issuer Purchases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provides information about the Company’s purchases of its common stock for each month during this quarterly period covered by this report: </w:t>
      </w:r>
    </w:p>
    <w:p>
      <w:pPr>
        <w:pStyle w:val="TextBody"/>
        <w:bidi w:val="0"/>
        <w:jc w:val="left"/>
        <w:rPr/>
      </w:pPr>
      <w:r>
        <w:rPr/>
        <w:t> </w:t>
      </w:r>
    </w:p>
    <w:tbl>
      <w:tblPr>
        <w:tblW w:w="8399" w:type="dxa"/>
        <w:jc w:val="left"/>
        <w:tblInd w:w="0" w:type="dxa"/>
        <w:tblLayout w:type="fixed"/>
        <w:tblCellMar>
          <w:top w:w="28" w:type="dxa"/>
          <w:left w:w="28" w:type="dxa"/>
          <w:bottom w:w="28" w:type="dxa"/>
          <w:right w:w="28" w:type="dxa"/>
        </w:tblCellMar>
      </w:tblPr>
      <w:tblGrid>
        <w:gridCol w:w="2221"/>
        <w:gridCol w:w="146"/>
        <w:gridCol w:w="275"/>
        <w:gridCol w:w="655"/>
        <w:gridCol w:w="146"/>
        <w:gridCol w:w="146"/>
        <w:gridCol w:w="388"/>
        <w:gridCol w:w="857"/>
        <w:gridCol w:w="146"/>
        <w:gridCol w:w="146"/>
        <w:gridCol w:w="434"/>
        <w:gridCol w:w="1036"/>
        <w:gridCol w:w="146"/>
        <w:gridCol w:w="146"/>
        <w:gridCol w:w="391"/>
        <w:gridCol w:w="929"/>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 Total</w:t>
              <w:br/>
              <w:t>number</w:t>
              <w:br/>
              <w:t>of shares</w:t>
              <w:br/>
              <w:t>(or units)</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 Average</w:t>
              <w:br/>
              <w:t>price paid per</w:t>
              <w:br/>
              <w:t>share (or unit)*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 Total number</w:t>
              <w:br/>
              <w:t>of shares (or units)</w:t>
              <w:br/>
              <w:t>purchased as part</w:t>
              <w:br/>
              <w:t>of publicly</w:t>
              <w:br/>
              <w:t>announced plans</w:t>
              <w:br/>
              <w:t>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 Maximum</w:t>
              <w:br/>
              <w:t>number (or</w:t>
              <w:br/>
              <w:t>approximate</w:t>
              <w:br/>
              <w:t>dollar value)</w:t>
              <w:br/>
              <w:t>of shares (or</w:t>
              <w:br/>
              <w:t>units) that may</w:t>
              <w:br/>
              <w:t>yet be purchased</w:t>
              <w:br/>
              <w:t>under the plans</w:t>
              <w:br/>
              <w:t>or programs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to January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 to February 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 to March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Shares withheld to cover tax withholding obligations under the net settlement provision upon vesting of restricted stock units and exercising of options.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8" w:name="item_4_mine_safety_disclosures"/>
      <w:bookmarkEnd w:id="18"/>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9" w:name="item_5_or_information"/>
      <w:bookmarkEnd w:id="19"/>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Insider Trading Arrangements and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certain of our officers and directors adopted Rule 10b5-1 trading arrangements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17, 2026, Stephen Schlegel, a director on our Board of Directors, adopted a trading plan intended to satisfy the conditions under Rule 10b5-1(c) of the Exchange Act. The plan is for the sale of up to 9,750 shares of our Class A common stock in amounts and prices determined in accordance with a formula set forth in the plan and terminates on the earlier of the date all the shares under the plan are sold and June 30, 2026.</w:t>
      </w:r>
    </w:p>
    <w:p>
      <w:pPr>
        <w:pStyle w:val="TextBody"/>
        <w:bidi w:val="0"/>
        <w:jc w:val="left"/>
        <w:rPr/>
      </w:pPr>
      <w:r>
        <w:rPr/>
        <w:t> </w:t>
      </w:r>
    </w:p>
    <w:p>
      <w:pPr>
        <w:pStyle w:val="TextBody"/>
        <w:bidi w:val="0"/>
        <w:spacing w:before="360" w:after="283"/>
        <w:jc w:val="left"/>
        <w:rPr>
          <w:rFonts w:ascii="Times New Roman" w:hAnsi="Times New Roman"/>
          <w:sz w:val="20"/>
        </w:rPr>
      </w:pPr>
      <w:bookmarkStart w:id="20" w:name="item_6_exhibits"/>
      <w:bookmarkEnd w:id="20"/>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documents listed below are incorporated by reference or are filed with this Quarterly Report on Form 10-Q, in each case as indicated therein (numbered in accordance with Item 601 of Regulation S-K).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amwl-ex10_1.htm">
              <w:r>
                <w:rPr>
                  <w:rStyle w:val="InternetLink"/>
                  <w:rFonts w:ascii="Times New Roman" w:hAnsi="Times New Roman"/>
                  <w:color w:val="0000FF"/>
                  <w:sz w:val="20"/>
                  <w:u w:val="single"/>
                </w:rPr>
                <w:t>Amended and Restated Non-Employee Director Compensation Policy</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amwl-ex31_1.htm">
              <w:r>
                <w:rPr>
                  <w:rStyle w:val="InternetLink"/>
                  <w:rFonts w:ascii="Times New Roman" w:hAnsi="Times New Roman"/>
                  <w:color w:val="0000FF"/>
                  <w:sz w:val="20"/>
                  <w:u w:val="single"/>
                </w:rPr>
                <w:t>Chief Executive Officer Certification</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amwl-ex31_2.htm">
              <w:r>
                <w:rPr>
                  <w:rStyle w:val="InternetLink"/>
                  <w:rFonts w:ascii="Times New Roman" w:hAnsi="Times New Roman"/>
                  <w:color w:val="0000FF"/>
                  <w:sz w:val="20"/>
                  <w:u w:val="single"/>
                </w:rPr>
                <w:t>Chief Financial Officer Certification</w:t>
              </w:r>
            </w:hyperlink>
            <w:hyperlink w:anchor="amwl-ex31_2.htm">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amwl-ex32_1.htm">
              <w:r>
                <w:rPr>
                  <w:rStyle w:val="InternetLink"/>
                  <w:rFonts w:ascii="Times New Roman" w:hAnsi="Times New Roman"/>
                  <w:color w:val="0000FF"/>
                  <w:sz w:val="20"/>
                  <w:u w:val="single"/>
                </w:rPr>
                <w:t>CEO Certification of Quarterly Report</w:t>
              </w:r>
            </w:hyperlink>
            <w:hyperlink w:anchor="amwl-ex32_1.htm">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amwl-ex32_2.htm">
              <w:r>
                <w:rPr>
                  <w:rStyle w:val="InternetLink"/>
                  <w:rFonts w:ascii="Times New Roman" w:hAnsi="Times New Roman"/>
                  <w:color w:val="0000FF"/>
                  <w:sz w:val="20"/>
                  <w:u w:val="single"/>
                </w:rPr>
                <w:t>CFO Certifications of Quarterly Report</w:t>
              </w:r>
            </w:hyperlink>
            <w:hyperlink w:anchor="amwl-ex32_2.htm">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101.INS</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r>
    </w:tbl>
    <w:p>
      <w:pPr>
        <w:pStyle w:val="TextBody"/>
        <w:bidi w:val="0"/>
        <w:jc w:val="left"/>
        <w:rPr/>
      </w:pPr>
      <w:r>
        <w:rPr/>
        <w:t> </w:t>
      </w:r>
    </w:p>
    <w:tbl>
      <w:tblPr>
        <w:tblW w:w="1547" w:type="dxa"/>
        <w:jc w:val="left"/>
        <w:tblInd w:w="0" w:type="dxa"/>
        <w:tblLayout w:type="fixed"/>
        <w:tblCellMar>
          <w:top w:w="28" w:type="dxa"/>
          <w:left w:w="28" w:type="dxa"/>
          <w:bottom w:w="28" w:type="dxa"/>
          <w:right w:w="28" w:type="dxa"/>
        </w:tblCellMar>
      </w:tblPr>
      <w:tblGrid>
        <w:gridCol w:w="226"/>
        <w:gridCol w:w="1321"/>
      </w:tblGrid>
      <w:tr>
        <w:trPr/>
        <w:tc>
          <w:tcPr>
            <w:tcW w:w="22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bl>
    <w:p>
      <w:pPr>
        <w:pStyle w:val="TextBody"/>
        <w:bidi w:val="0"/>
        <w:jc w:val="left"/>
        <w:rPr/>
      </w:pPr>
      <w:r>
        <w:rPr/>
        <w:t> </w:t>
      </w:r>
    </w:p>
    <w:tbl>
      <w:tblPr>
        <w:tblW w:w="4832" w:type="dxa"/>
        <w:jc w:val="left"/>
        <w:tblInd w:w="0" w:type="dxa"/>
        <w:tblLayout w:type="fixed"/>
        <w:tblCellMar>
          <w:top w:w="28" w:type="dxa"/>
          <w:left w:w="28" w:type="dxa"/>
          <w:bottom w:w="28" w:type="dxa"/>
          <w:right w:w="28" w:type="dxa"/>
        </w:tblCellMar>
      </w:tblPr>
      <w:tblGrid>
        <w:gridCol w:w="226"/>
        <w:gridCol w:w="4606"/>
      </w:tblGrid>
      <w:tr>
        <w:trPr/>
        <w:tc>
          <w:tcPr>
            <w:tcW w:w="226" w:type="dxa"/>
            <w:tcBorders/>
            <w:vAlign w:val="center"/>
          </w:tcPr>
          <w:p>
            <w:pPr>
              <w:pStyle w:val="TableContents"/>
              <w:bidi w:val="0"/>
              <w:spacing w:before="0" w:after="283"/>
              <w:jc w:val="left"/>
              <w:rPr>
                <w:sz w:val="4"/>
                <w:szCs w:val="4"/>
              </w:rPr>
            </w:pPr>
            <w:r>
              <w:rPr>
                <w:sz w:val="4"/>
                <w:szCs w:val="4"/>
              </w:rPr>
            </w:r>
          </w:p>
        </w:tc>
        <w:tc>
          <w:tcPr>
            <w:tcW w:w="4606"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Indicates a management contract or compensatory plan</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1" w:name="signatures"/>
      <w:bookmarkEnd w:id="21"/>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6315" w:type="dxa"/>
        <w:jc w:val="left"/>
        <w:tblInd w:w="0" w:type="dxa"/>
        <w:tblLayout w:type="fixed"/>
        <w:tblCellMar>
          <w:top w:w="28" w:type="dxa"/>
          <w:left w:w="28" w:type="dxa"/>
          <w:bottom w:w="28" w:type="dxa"/>
          <w:right w:w="28" w:type="dxa"/>
        </w:tblCellMar>
      </w:tblPr>
      <w:tblGrid>
        <w:gridCol w:w="556"/>
        <w:gridCol w:w="1186"/>
        <w:gridCol w:w="326"/>
        <w:gridCol w:w="646"/>
        <w:gridCol w:w="3601"/>
      </w:tblGrid>
      <w:tr>
        <w:trPr/>
        <w:tc>
          <w:tcPr>
            <w:tcW w:w="55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60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6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AMERICAN WELL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1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5, 2026</w:t>
            </w:r>
          </w:p>
        </w:tc>
        <w:tc>
          <w:tcPr>
            <w:tcW w:w="32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By:</w:t>
            </w:r>
          </w:p>
        </w:tc>
        <w:tc>
          <w:tcPr>
            <w:tcW w:w="3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Ido Schoenberg, MD </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6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Chief Executive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6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1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May 5, 2026 </w:t>
            </w:r>
          </w:p>
        </w:tc>
        <w:tc>
          <w:tcPr>
            <w:tcW w:w="32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Hirschhorn</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6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Chief Financial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6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i/>
                <w:color w:val="000000"/>
                <w:sz w:val="20"/>
              </w:rPr>
            </w:pPr>
            <w:r>
              <w:rPr>
                <w:rFonts w:ascii="Times New Roman" w:hAnsi="Times New Roman"/>
                <w:i/>
                <w:color w:val="000000"/>
                <w:sz w:val="20"/>
              </w:rPr>
              <w:t>(Principal Financial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1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May 5, 2026 </w:t>
            </w:r>
          </w:p>
        </w:tc>
        <w:tc>
          <w:tcPr>
            <w:tcW w:w="32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By:</w:t>
            </w:r>
          </w:p>
        </w:tc>
        <w:tc>
          <w:tcPr>
            <w:tcW w:w="3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Paul McNeice </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6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Chief Accounting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6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i/>
                <w:color w:val="000000"/>
                <w:sz w:val="20"/>
              </w:rPr>
            </w:pPr>
            <w:r>
              <w:rPr>
                <w:rFonts w:ascii="Times New Roman" w:hAnsi="Times New Roman"/>
                <w:i/>
                <w:color w:val="000000"/>
                <w:sz w:val="20"/>
              </w:rPr>
              <w:t>(Principal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right"/>
        <w:rPr/>
      </w:pPr>
      <w:bookmarkStart w:id="22" w:name="amwl-ex10_1.htm"/>
      <w:bookmarkStart w:id="23" w:name="ksamwlex10_1"/>
      <w:bookmarkEnd w:id="22"/>
      <w:bookmarkEnd w:id="23"/>
      <w:r>
        <w:rPr/>
        <w:t> </w:t>
      </w:r>
      <w:r>
        <w:br w:type="page"/>
      </w:r>
    </w:p>
    <w:p>
      <w:pPr>
        <w:pStyle w:val="TextBody"/>
        <w:bidi w:val="0"/>
        <w:spacing w:before="1" w:after="283"/>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1" w:after="283"/>
        <w:jc w:val="center"/>
        <w:rPr>
          <w:rFonts w:ascii="Times New Roman" w:hAnsi="Times New Roman"/>
          <w:b/>
          <w:color w:val="000000"/>
          <w:sz w:val="24"/>
        </w:rPr>
      </w:pPr>
      <w:r>
        <w:rPr>
          <w:rFonts w:ascii="Times New Roman" w:hAnsi="Times New Roman"/>
          <w:b/>
          <w:color w:val="000000"/>
          <w:sz w:val="24"/>
        </w:rPr>
        <w:t>AMERICAN WELL CORPORATION</w:t>
      </w:r>
    </w:p>
    <w:p>
      <w:pPr>
        <w:pStyle w:val="TextBody"/>
        <w:bidi w:val="0"/>
        <w:spacing w:before="1" w:after="283"/>
        <w:jc w:val="center"/>
        <w:rPr>
          <w:rFonts w:ascii="Times New Roman" w:hAnsi="Times New Roman"/>
          <w:b/>
          <w:color w:val="000000"/>
          <w:sz w:val="24"/>
        </w:rPr>
      </w:pPr>
      <w:r>
        <w:rPr>
          <w:rFonts w:ascii="Times New Roman" w:hAnsi="Times New Roman"/>
          <w:b/>
          <w:color w:val="000000"/>
          <w:sz w:val="24"/>
        </w:rPr>
        <w:t>NON-EMPLOYEE DIRECTOR COMPENSATION POLICY</w:t>
      </w:r>
    </w:p>
    <w:p>
      <w:pPr>
        <w:pStyle w:val="TextBody"/>
        <w:bidi w:val="0"/>
        <w:spacing w:before="1" w:after="283"/>
        <w:jc w:val="center"/>
        <w:rPr/>
      </w:pPr>
      <w:r>
        <w:rPr/>
        <w:t> </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Originally Adopted November 2, 2020; and</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Amended and Restated on June 10, 2025</w:t>
      </w:r>
    </w:p>
    <w:p>
      <w:pPr>
        <w:pStyle w:val="TextBody"/>
        <w:bidi w:val="0"/>
        <w:jc w:val="both"/>
        <w:rPr>
          <w:rFonts w:ascii="Times New Roman" w:hAnsi="Times New Roman"/>
          <w:sz w:val="20"/>
        </w:rPr>
      </w:pPr>
      <w:r>
        <w:rPr>
          <w:rFonts w:ascii="Times New Roman" w:hAnsi="Times New Roman"/>
          <w:color w:val="000000"/>
          <w:sz w:val="24"/>
        </w:rPr>
        <w:t>Non-employee members of the board of directors (the “</w:t>
      </w:r>
      <w:r>
        <w:rPr>
          <w:rFonts w:ascii="Times New Roman" w:hAnsi="Times New Roman"/>
          <w:b/>
          <w:i/>
          <w:color w:val="000000"/>
          <w:sz w:val="24"/>
        </w:rPr>
        <w:t>Board</w:t>
      </w:r>
      <w:r>
        <w:rPr>
          <w:rFonts w:ascii="Times New Roman" w:hAnsi="Times New Roman"/>
          <w:color w:val="000000"/>
          <w:sz w:val="20"/>
        </w:rPr>
        <w:t>”</w:t>
      </w:r>
      <w:r>
        <w:rPr>
          <w:rFonts w:ascii="Times New Roman" w:hAnsi="Times New Roman"/>
          <w:color w:val="000000"/>
          <w:sz w:val="24"/>
        </w:rPr>
        <w:t>) of American Well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shall be eligible to receive cash and equity compensation as set forth in this Non-Employee Director Compensation Policy (this “</w:t>
      </w:r>
      <w:r>
        <w:rPr>
          <w:rFonts w:ascii="Times New Roman" w:hAnsi="Times New Roman"/>
          <w:b/>
          <w:i/>
          <w:color w:val="000000"/>
          <w:sz w:val="24"/>
        </w:rPr>
        <w:t>Policy</w:t>
      </w:r>
      <w:r>
        <w:rPr>
          <w:rFonts w:ascii="Times New Roman" w:hAnsi="Times New Roman"/>
          <w:color w:val="000000"/>
          <w:sz w:val="20"/>
        </w:rPr>
        <w:t>”</w:t>
      </w:r>
      <w:r>
        <w:rPr>
          <w:rFonts w:ascii="Times New Roman" w:hAnsi="Times New Roman"/>
          <w:color w:val="000000"/>
          <w:sz w:val="24"/>
        </w:rPr>
        <w:t>). The cash and equity compensation described in this Policy shall be paid or be made, as applicable, automatically and without further action of the Board, to each member of the Board who is not an employee of the Company or any parent or subsidiary of the Company (each, a “</w:t>
      </w:r>
      <w:r>
        <w:rPr>
          <w:rFonts w:ascii="Times New Roman" w:hAnsi="Times New Roman"/>
          <w:b/>
          <w:i/>
          <w:color w:val="000000"/>
          <w:sz w:val="24"/>
        </w:rPr>
        <w:t>Non-Employee Director</w:t>
      </w:r>
      <w:r>
        <w:rPr>
          <w:rFonts w:ascii="Times New Roman" w:hAnsi="Times New Roman"/>
          <w:color w:val="000000"/>
          <w:sz w:val="20"/>
        </w:rPr>
        <w:t>”</w:t>
      </w:r>
      <w:r>
        <w:rPr>
          <w:rFonts w:ascii="Times New Roman" w:hAnsi="Times New Roman"/>
          <w:color w:val="000000"/>
          <w:sz w:val="24"/>
        </w:rPr>
        <w:t>) who may be eligible to receive such cash or equity compensation, unless such Non-Employee Director declines the receipt of such cash or equity compensation by written notice to the Company. This Policy became effective on November 2, 2020 and shall remain in effect until it is revised or rescinded by further action of the Board. This Policy may be amended, modified or terminated by the Board at any time in its sole discretion. The terms and conditions of this Policy shall supersede any prior cash and/or equity compensation arrangements for service as a member of the Board between the Company and any of its Non-Employee Directors and between any subsidiary of the Company and any of its non-employee directors.</w:t>
      </w:r>
    </w:p>
    <w:p>
      <w:pPr>
        <w:pStyle w:val="TextBody"/>
        <w:bidi w:val="0"/>
        <w:spacing w:before="1" w:after="283"/>
        <w:jc w:val="both"/>
        <w:rPr>
          <w:rFonts w:ascii="Times New Roman" w:hAnsi="Times New Roman"/>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u w:val="single"/>
        </w:rPr>
        <w:t>Cash Compensation</w:t>
      </w:r>
      <w:r>
        <w:rPr>
          <w:rFonts w:ascii="Times New Roman" w:hAnsi="Times New Roman"/>
          <w:color w:val="000000"/>
          <w:sz w:val="24"/>
        </w:rPr>
        <w:t>.</w:t>
      </w:r>
    </w:p>
    <w:p>
      <w:pPr>
        <w:pStyle w:val="TextBody"/>
        <w:bidi w:val="0"/>
        <w:spacing w:before="1"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u w:val="single"/>
        </w:rPr>
        <w:t>Annual Retainers</w:t>
      </w:r>
      <w:r>
        <w:rPr>
          <w:rFonts w:ascii="Times New Roman" w:hAnsi="Times New Roman"/>
          <w:color w:val="000000"/>
          <w:sz w:val="24"/>
        </w:rPr>
        <w:t>. Each Non-Employee Director shall receive an annual retainer of $75,000 for service on the Board. Each Non-Employee Director shall also receive $5,000 annually in addition to the annual retainer for serving as a Board Chair for one of the three (3) established Board Committees: Audit Committee, Compensation Committee and Nominating and Corporate Governance Committee.</w:t>
      </w:r>
    </w:p>
    <w:p>
      <w:pPr>
        <w:pStyle w:val="TextBody"/>
        <w:bidi w:val="0"/>
        <w:spacing w:before="1" w:after="283"/>
        <w:jc w:val="both"/>
        <w:rPr>
          <w:rFonts w:ascii="Times New Roman" w:hAnsi="Times New Roman"/>
          <w:sz w:val="20"/>
        </w:rPr>
      </w:pPr>
      <w:bookmarkStart w:id="24" w:name="eolpage294"/>
      <w:bookmarkEnd w:id="24"/>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u w:val="single"/>
        </w:rPr>
        <w:t>Payment of Retainers</w:t>
      </w:r>
      <w:r>
        <w:rPr>
          <w:rFonts w:ascii="Times New Roman" w:hAnsi="Times New Roman"/>
          <w:color w:val="000000"/>
          <w:sz w:val="24"/>
        </w:rPr>
        <w:t>. The annual retainer described in Section 1(a) shall be earned on a quarterly basis based on a calendar quarter and shall be paid by the Company in arrears not later than the fifteenth day following the end of each calendar quarter. In the event a Non-Employee Director does not serve as a Non-Employee Director for an entire calendar quarter, such Non-Employee Director shall receive a prorated portion of the retainer(s) otherwise payable to such Non-Employee Director for such calendar quarter pursuant to Section 1(a) , with such prorated portion determined by multiplying such otherwise payable retainer by a fraction, the numerator of which is the number of days during which the Non-Employee Director serves as a Non-Employee Director during the applicable calendar quarter and the denominator of which is the number of days in the applicable calendar quarter.</w:t>
      </w:r>
    </w:p>
    <w:p>
      <w:pPr>
        <w:pStyle w:val="TextBody"/>
        <w:bidi w:val="0"/>
        <w:spacing w:before="1" w:after="283"/>
        <w:jc w:val="both"/>
        <w:rPr>
          <w:rFonts w:ascii="Times New Roman" w:hAnsi="Times New Roman"/>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u w:val="single"/>
        </w:rPr>
        <w:t>Equity Compensation</w:t>
      </w:r>
      <w:r>
        <w:rPr>
          <w:rFonts w:ascii="Times New Roman" w:hAnsi="Times New Roman"/>
          <w:color w:val="000000"/>
          <w:sz w:val="24"/>
        </w:rPr>
        <w:t>. Non-Employee Directors shall be granted the equity awards described below. The awards described below shall be granted under and shall be subject to the terms and provisions of the Company’s 2020 Equity Incentive Plan or any other applicable Company equity incentive plan then-maintained by the Company (such plan, as may be amended from time to time, the “</w:t>
      </w:r>
      <w:r>
        <w:rPr>
          <w:rFonts w:ascii="Times New Roman" w:hAnsi="Times New Roman"/>
          <w:b/>
          <w:i/>
          <w:color w:val="000000"/>
          <w:sz w:val="24"/>
        </w:rPr>
        <w:t>Equity Plan</w:t>
      </w:r>
      <w:r>
        <w:rPr>
          <w:rFonts w:ascii="Times New Roman" w:hAnsi="Times New Roman"/>
          <w:color w:val="000000"/>
          <w:sz w:val="20"/>
        </w:rPr>
        <w:t>”</w:t>
      </w:r>
      <w:r>
        <w:rPr>
          <w:rFonts w:ascii="Times New Roman" w:hAnsi="Times New Roman"/>
          <w:color w:val="000000"/>
          <w:sz w:val="24"/>
        </w:rPr>
        <w:t>) and shall be granted subject to the execution and delivery</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of award agreements, including attached exhibits, in substantially the forms previously approved by the Board. All applicable terms of the Equity Plan apply to this Policy as if fully set forth herein, and all equity grants hereunder are subject in all respects to the terms of the Equity Plan.</w:t>
      </w:r>
    </w:p>
    <w:p>
      <w:pPr>
        <w:pStyle w:val="TextBody"/>
        <w:bidi w:val="0"/>
        <w:spacing w:before="1"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u w:val="single"/>
        </w:rPr>
        <w:t>Annual Awards</w:t>
      </w:r>
      <w:r>
        <w:rPr>
          <w:rFonts w:ascii="Times New Roman" w:hAnsi="Times New Roman"/>
          <w:color w:val="000000"/>
          <w:sz w:val="24"/>
        </w:rPr>
        <w:t>. Each Non-Employee Director who (i) serves on the Board as of the date of any annual meeting of the Company’s stockholders (an “</w:t>
      </w:r>
      <w:r>
        <w:rPr>
          <w:rFonts w:ascii="Times New Roman" w:hAnsi="Times New Roman"/>
          <w:b/>
          <w:i/>
          <w:color w:val="000000"/>
          <w:sz w:val="24"/>
        </w:rPr>
        <w:t>Annual Meeting</w:t>
      </w:r>
      <w:r>
        <w:rPr>
          <w:rFonts w:ascii="Times New Roman" w:hAnsi="Times New Roman"/>
          <w:color w:val="000000"/>
          <w:sz w:val="20"/>
        </w:rPr>
        <w:t>”</w:t>
      </w:r>
      <w:r>
        <w:rPr>
          <w:rFonts w:ascii="Times New Roman" w:hAnsi="Times New Roman"/>
          <w:color w:val="000000"/>
          <w:sz w:val="24"/>
        </w:rPr>
        <w:t>) and (ii) will continue to serve as a Non-Employee Director immediately following such Annual Meeting shall be automatically granted, on the date of such Annual Meeting, an award of restricted stock units that have an aggregate fair value on the date of such Annual Meeting of $150,000 (as determined in accordance with ASC 718 and with the number of shares of common stock underlying such award subject to adjustment as provided in the Equity Plan). Each Non-Employee Director shall also receive $25,000 annually in addition to the annual grant for serving as a Board Chair for one of the three (3) established Board Committees: Audit Committee, Compensation Committee and Nominating and Corporate Governance Committee. The awards described in this Section 2(a) shall be referred to as the “</w:t>
      </w:r>
      <w:r>
        <w:rPr>
          <w:rFonts w:ascii="Times New Roman" w:hAnsi="Times New Roman"/>
          <w:b/>
          <w:i/>
          <w:color w:val="000000"/>
          <w:sz w:val="24"/>
        </w:rPr>
        <w:t>Annual Awards</w:t>
      </w:r>
      <w:r>
        <w:rPr>
          <w:rFonts w:ascii="Times New Roman" w:hAnsi="Times New Roman"/>
          <w:color w:val="000000"/>
          <w:sz w:val="24"/>
        </w:rPr>
        <w:t>.” For the avoidance of doubt, if the Company’s Annual Meeting does not occur by June 30 of each calendar year, each Non-Employee Director shall be automatically granted an Annual Award on June 30.</w:t>
      </w:r>
      <w:r>
        <w:rPr>
          <w:rFonts w:ascii="Times New Roman" w:hAnsi="Times New Roman"/>
          <w:color w:val="000000"/>
          <w:sz w:val="20"/>
        </w:rPr>
        <w:t xml:space="preserve"> </w:t>
      </w:r>
    </w:p>
    <w:p>
      <w:pPr>
        <w:pStyle w:val="TextBody"/>
        <w:bidi w:val="0"/>
        <w:spacing w:before="1"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u w:val="single"/>
        </w:rPr>
        <w:t>Initial Awards</w:t>
      </w:r>
      <w:r>
        <w:rPr>
          <w:rFonts w:ascii="Times New Roman" w:hAnsi="Times New Roman"/>
          <w:color w:val="000000"/>
          <w:sz w:val="24"/>
        </w:rPr>
        <w:t>. Except as otherwise determined by the Board, each Non-Employee Director who is initially elected or appointed to the Board on any date (including the date of an Annual Meeting) shall be automatically granted, on the date of such Non-Employee Director’s initial election or appointment (such Non-Employee Director’s “</w:t>
      </w:r>
      <w:r>
        <w:rPr>
          <w:rFonts w:ascii="Times New Roman" w:hAnsi="Times New Roman"/>
          <w:b/>
          <w:i/>
          <w:color w:val="000000"/>
          <w:sz w:val="24"/>
        </w:rPr>
        <w:t>Start Date</w:t>
      </w:r>
      <w:r>
        <w:rPr>
          <w:rFonts w:ascii="Times New Roman" w:hAnsi="Times New Roman"/>
          <w:color w:val="000000"/>
          <w:sz w:val="20"/>
        </w:rPr>
        <w:t>”</w:t>
      </w:r>
      <w:r>
        <w:rPr>
          <w:rFonts w:ascii="Times New Roman" w:hAnsi="Times New Roman"/>
          <w:color w:val="000000"/>
          <w:sz w:val="24"/>
        </w:rPr>
        <w:t>), an award of restricted stock units that have an aggregate fair value on such Non-Employee Director’s Start Date equal to $300,000 (as determined in accordance with ASC 718). The awards described in this Section 2(b) shall be referred to as “</w:t>
      </w:r>
      <w:r>
        <w:rPr>
          <w:rFonts w:ascii="Times New Roman" w:hAnsi="Times New Roman"/>
          <w:b/>
          <w:i/>
          <w:color w:val="000000"/>
          <w:sz w:val="24"/>
        </w:rPr>
        <w:t>Initial Awards</w:t>
      </w:r>
      <w:r>
        <w:rPr>
          <w:rFonts w:ascii="Times New Roman" w:hAnsi="Times New Roman"/>
          <w:i/>
          <w:color w:val="000000"/>
          <w:sz w:val="24"/>
        </w:rPr>
        <w:t>.</w:t>
      </w:r>
      <w:r>
        <w:rPr>
          <w:rFonts w:ascii="Times New Roman" w:hAnsi="Times New Roman"/>
          <w:color w:val="000000"/>
          <w:sz w:val="20"/>
        </w:rPr>
        <w:t xml:space="preserve">” </w:t>
      </w:r>
      <w:r>
        <w:rPr>
          <w:rFonts w:ascii="Times New Roman" w:hAnsi="Times New Roman"/>
          <w:color w:val="000000"/>
          <w:sz w:val="24"/>
        </w:rPr>
        <w:t>For the avoidance of doubt and notwithstanding anything set forth herein, (i) no Non-Employee Director shall be granted more than one Initial Award, and (ii) in the event that a Non-Employee Director’s Start Date occurs on the date of an Annual Meeting, such Director shall receive an award of restricted stock units that have an aggregate fair value on such Non-Employee Director’s Start Date equal to $450,000 (as determined in accordance with ASC 718) (which is meant to represent the sum of an Initial Award and an Annual Award).</w:t>
      </w:r>
      <w:r>
        <w:rPr>
          <w:rFonts w:ascii="Times New Roman" w:hAnsi="Times New Roman"/>
          <w:color w:val="000000"/>
          <w:sz w:val="20"/>
        </w:rPr>
        <w:t xml:space="preserve"> </w:t>
      </w:r>
    </w:p>
    <w:p>
      <w:pPr>
        <w:pStyle w:val="TextBody"/>
        <w:bidi w:val="0"/>
        <w:spacing w:before="1" w:after="283"/>
        <w:jc w:val="both"/>
        <w:rPr>
          <w:rFonts w:ascii="Times New Roman" w:hAnsi="Times New Roman"/>
          <w:sz w:val="20"/>
        </w:rPr>
      </w:pPr>
      <w:bookmarkStart w:id="25" w:name="eolpage295"/>
      <w:bookmarkEnd w:id="25"/>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u w:val="single"/>
        </w:rPr>
        <w:t>Termination of Employment of Employee Directors</w:t>
      </w:r>
      <w:r>
        <w:rPr>
          <w:rFonts w:ascii="Times New Roman" w:hAnsi="Times New Roman"/>
          <w:color w:val="000000"/>
          <w:sz w:val="24"/>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2(b) above, but to the extent that they are otherwise eligible, will be eligible to receive, after termination from employment with the Company and any parent or subsidiary of the Company, Annual Awards as described in Section 2(a) above.</w:t>
      </w:r>
    </w:p>
    <w:p>
      <w:pPr>
        <w:pStyle w:val="TextBody"/>
        <w:bidi w:val="0"/>
        <w:spacing w:before="1" w:after="283"/>
        <w:jc w:val="both"/>
        <w:rPr>
          <w:rFonts w:ascii="Times New Roman" w:hAnsi="Times New Roman"/>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u w:val="single"/>
        </w:rPr>
        <w:t>Vesting of Awards Granted to Non-Employee Directors</w:t>
      </w:r>
      <w:r>
        <w:rPr>
          <w:rFonts w:ascii="Times New Roman" w:hAnsi="Times New Roman"/>
          <w:color w:val="000000"/>
          <w:sz w:val="24"/>
        </w:rPr>
        <w:t>. Each Annual Award shall vest on the earlier of (i) the day immediately preceding the date of the first Annual Meeting following the date of grant and (ii) the first anniversary of the date of grant, subject to the Non-Employee Director continuing in service on the Board through the applicable vesting date. Each Initial Award shall vest ratably over a period of three years, with such tranches vesting on the first, second and third anniversaries of the date of grant. No portion of an Annual Award or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Initial Award that is unvested at the time of a Non-Employee Director’s termination of service on the Board shall become vested thereafter.</w:t>
      </w:r>
    </w:p>
    <w:p>
      <w:pPr>
        <w:pStyle w:val="TextBody"/>
        <w:bidi w:val="0"/>
        <w:spacing w:before="1" w:after="283"/>
        <w:jc w:val="both"/>
        <w:rPr>
          <w:rFonts w:ascii="Times New Roman" w:hAnsi="Times New Roman"/>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color w:val="000000"/>
          <w:sz w:val="24"/>
          <w:u w:val="single"/>
        </w:rPr>
        <w:t>Expenses</w:t>
      </w:r>
    </w:p>
    <w:p>
      <w:pPr>
        <w:pStyle w:val="TextBody"/>
        <w:bidi w:val="0"/>
        <w:spacing w:before="1" w:after="283"/>
        <w:jc w:val="both"/>
        <w:rPr>
          <w:rFonts w:ascii="Times New Roman" w:hAnsi="Times New Roman"/>
          <w:sz w:val="20"/>
        </w:rPr>
      </w:pPr>
      <w:r>
        <w:rPr>
          <w:rFonts w:ascii="Times New Roman" w:hAnsi="Times New Roman"/>
          <w:color w:val="000000"/>
          <w:sz w:val="24"/>
        </w:rPr>
        <w:t xml:space="preserve">The Company will reimburse each Non-Employee Director for ordinary, necessary and reasonable out-of-pocket travel expenses to cover in-person attendance at and participation in Board meetings and meetings of any committee of the Board; </w:t>
      </w:r>
      <w:r>
        <w:rPr>
          <w:rFonts w:ascii="Times New Roman" w:hAnsi="Times New Roman"/>
          <w:i/>
          <w:color w:val="000000"/>
          <w:sz w:val="24"/>
        </w:rPr>
        <w:t>provided</w:t>
      </w:r>
      <w:r>
        <w:rPr>
          <w:rFonts w:ascii="Times New Roman" w:hAnsi="Times New Roman"/>
          <w:color w:val="000000"/>
          <w:sz w:val="24"/>
        </w:rPr>
        <w:t>, that the Non-Employee Director timely submit to the Company appropriate documentation substantiating such expenses in accordance with the Company’s travel and expense policy applicable to directors, as in effect from time to time. To the extent that any taxable reimbursements are provided to any Non-Employee Director, they will be provided in accordance with Section 409A of the Internal Revenue Code of 1986, as amended, including, but not limited to, the following provisions: (i) the amount of any such expenses eligible for reimbursement during such individual’s taxable year may not affect the expenses eligible for reimbursement in any other taxable year; (ii) the reimbursement of an eligible expense must be made no later than the last day of such individual’s taxable year that immediately follows the taxable year in which the expense was incurred; and (iii) the right to any reimbursement may not be subject to liquidation or exchange for another benefit.</w:t>
      </w:r>
    </w:p>
    <w:p>
      <w:pPr>
        <w:pStyle w:val="HorizontalLine"/>
        <w:pBdr>
          <w:bottom w:val="double" w:sz="2" w:space="0" w:color="808080"/>
        </w:pBdr>
        <w:bidi w:val="0"/>
        <w:spacing w:before="0" w:after="283"/>
        <w:jc w:val="left"/>
        <w:rPr/>
      </w:pPr>
      <w:r>
        <w:rPr/>
      </w:r>
    </w:p>
    <w:p>
      <w:pPr>
        <w:pStyle w:val="TextBody"/>
        <w:bidi w:val="0"/>
        <w:jc w:val="left"/>
        <w:rPr/>
      </w:pPr>
      <w:bookmarkStart w:id="26" w:name="amwl-ex31_1.htm"/>
      <w:bookmarkStart w:id="27" w:name="ksamwlex31_1"/>
      <w:bookmarkEnd w:id="26"/>
      <w:bookmarkEnd w:id="27"/>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CERTIFICATIONS OF CHIEF EXECUTIVE OFFICERS PERIODIC REPORT UNDER SECTION 302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OF THE SARBANES-OXLEY ACT OF 2002</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Ido Schoenberg,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American Well Corporation for the period ended March 31,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4664" w:type="dxa"/>
        <w:jc w:val="left"/>
        <w:tblInd w:w="0" w:type="dxa"/>
        <w:tblLayout w:type="fixed"/>
        <w:tblCellMar>
          <w:top w:w="28" w:type="dxa"/>
          <w:left w:w="28" w:type="dxa"/>
          <w:bottom w:w="28" w:type="dxa"/>
          <w:right w:w="28" w:type="dxa"/>
        </w:tblCellMar>
      </w:tblPr>
      <w:tblGrid>
        <w:gridCol w:w="1636"/>
        <w:gridCol w:w="406"/>
        <w:gridCol w:w="146"/>
        <w:gridCol w:w="2476"/>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5, 2026</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Ido Schoenberg</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Ido Schoenberg</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amwl-ex31_2.htm"/>
      <w:bookmarkStart w:id="29" w:name="ksamwlex31_2"/>
      <w:bookmarkEnd w:id="28"/>
      <w:bookmarkEnd w:id="29"/>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CHIEF FINANCIAL OFFICER PERIODIC REPORT UNDER SECTION 302 OF THE SARBANES-OXLEY ACT OF 2002</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Mark Hirschhorn,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American Well Corporation for the period ended March 31,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4604" w:type="dxa"/>
        <w:jc w:val="left"/>
        <w:tblInd w:w="0" w:type="dxa"/>
        <w:tblLayout w:type="fixed"/>
        <w:tblCellMar>
          <w:top w:w="28" w:type="dxa"/>
          <w:left w:w="28" w:type="dxa"/>
          <w:bottom w:w="28" w:type="dxa"/>
          <w:right w:w="28" w:type="dxa"/>
        </w:tblCellMar>
      </w:tblPr>
      <w:tblGrid>
        <w:gridCol w:w="1636"/>
        <w:gridCol w:w="406"/>
        <w:gridCol w:w="146"/>
        <w:gridCol w:w="2416"/>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5, 2026</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Hirschhorn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Hirschhorn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amwl-ex32_1.htm"/>
      <w:bookmarkStart w:id="31" w:name="ksamwlex32_1"/>
      <w:bookmarkEnd w:id="30"/>
      <w:bookmarkEnd w:id="31"/>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CERTIFICATIONS OF CHIEF EXECUTIVE OFFICERS PURSUANT TO 18 U.S.C. SECTION 1350, AS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ADOPTED PURSUANT TO 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Ido Schoenberg, certify, pursuant to 18 U.S.C. Section 1350, as adopted pursuant to Section 906 of the Sarbanes-Oxley Act of 2002, that the Quarterly Report on Form 10-Q of American Well Corporation for the fiscal quarter ended March 31, 2026 fully complies with the requirements of Section 13(a) or 15(d) of the Securities Exchange Act of 1934, as amended, and that the information contained in such Quarterly Report on Form 10-Q fairly presents, in all material respects, the financial condition and results of operations of American Well Corporation.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5, 2026</w:t>
      </w:r>
    </w:p>
    <w:tbl>
      <w:tblPr>
        <w:tblW w:w="3122" w:type="dxa"/>
        <w:jc w:val="left"/>
        <w:tblInd w:w="0" w:type="dxa"/>
        <w:tblLayout w:type="fixed"/>
        <w:tblCellMar>
          <w:top w:w="28" w:type="dxa"/>
          <w:left w:w="28" w:type="dxa"/>
          <w:bottom w:w="28" w:type="dxa"/>
          <w:right w:w="28" w:type="dxa"/>
        </w:tblCellMar>
      </w:tblPr>
      <w:tblGrid>
        <w:gridCol w:w="646"/>
        <w:gridCol w:w="2476"/>
      </w:tblGrid>
      <w:tr>
        <w:trPr/>
        <w:tc>
          <w:tcPr>
            <w:tcW w:w="6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Ido Schoenberg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Ido Schoenberg</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amwl-ex32_2.htm"/>
      <w:bookmarkStart w:id="33" w:name="ksamwlex32_2"/>
      <w:bookmarkEnd w:id="32"/>
      <w:bookmarkEnd w:id="33"/>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CHIEF FINANCIAL OFFICER PURSUANT TO 18 U.S.C. SECTION 1350, AS ADOPTED PURSUANT TO 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Mark Hirschhorn, certify, pursuant to 18 U.S.C. Section 1350, as adopted pursuant to Section 906 of the Sarbanes-Oxley Act of 2002, that the Quarterly Report on Form 10-Q of American Well Corporation for the fiscal quarter ended March 31, 2026 fully complies with the requirements of Section 13(a) or 15(d) of the Securities Exchange Act of 1934, as amended, and that the information contained in such Quarterly Report on Form 10-Q fairly presents, in all material respects, the financial condition and results of operations of American Well Corporation.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May 5, 2026 </w:t>
      </w:r>
    </w:p>
    <w:tbl>
      <w:tblPr>
        <w:tblW w:w="3062" w:type="dxa"/>
        <w:jc w:val="left"/>
        <w:tblInd w:w="0" w:type="dxa"/>
        <w:tblLayout w:type="fixed"/>
        <w:tblCellMar>
          <w:top w:w="28" w:type="dxa"/>
          <w:left w:w="28" w:type="dxa"/>
          <w:bottom w:w="28" w:type="dxa"/>
          <w:right w:w="28" w:type="dxa"/>
        </w:tblCellMar>
      </w:tblPr>
      <w:tblGrid>
        <w:gridCol w:w="646"/>
        <w:gridCol w:w="2416"/>
      </w:tblGrid>
      <w:tr>
        <w:trPr/>
        <w:tc>
          <w:tcPr>
            <w:tcW w:w="6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Hirschhorn</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Hirschhorn</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17824</Words>
  <Characters>99518</Characters>
  <CharactersWithSpaces>118098</CharactersWithSpaces>
  <Paragraphs>4083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