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HIRSCHHORN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20" w:lineRule="auto"/>
        <w:rPr>
          <w:sz w:val="20"/>
          <w:szCs w:val="20"/>
          <w:color w:val="auto"/>
        </w:rPr>
      </w:pPr>
      <w:r>
        <w:rPr>
          <w:rFonts w:ascii="Times New Roman" w:cs="Times New Roman" w:eastAsia="Times New Roman" w:hAnsi="Times New Roman"/>
          <w:sz w:val="17"/>
          <w:szCs w:val="17"/>
          <w:color w:val="0000FF"/>
        </w:rPr>
        <w:t>C/O AMERICAN WELL CORPORATION 75 STATE ST,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American Well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4,299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238,939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made in order to pay the tax liability arising from the vesting and settlement of restricted stock units on July 1, 2026. The sales were effected through and automatic "sell to cover" transaction that did not represent a discretionary trade by the reporting person.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Nesterova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w:t>
      </w:r>
      <w:r>
        <w:rPr>
          <w:sz w:val="20"/>
          <w:szCs w:val="20"/>
          <w:color w:val="auto"/>
        </w:rPr>
        <w:tab/>
      </w: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Hirschhorn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94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1343"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2026-07-01T16:24:09Z</dcterms:created>
  <dcterms:modified xsi:type="dcterms:W3CDTF">2026-07-01T16:24:09Z</dcterms:modified>
</cp:coreProperties>
</file>