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Well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001-39515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20-5009396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75 State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02109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617 204-3500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AMWL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American Well Corporation (the “Company”) was held on June 16, 2026. The Company previously filed with the Securities and Exchange Commission a definitive proxy statement and related materials pertaining to the Annual Meeting, which describe in detail each of the three proposals submitted to stockholders at the Annual Meeting. The final results for the votes regarding each proposal are set forth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of the Company elected the following Class III director nominee proposed by the Company’s Board of Directors to serve until the 2029 annual meeting of stockholders of the Company or until his respective successor has been duly elected and qualified. The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4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0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Ido Schoenberg</w:t>
            </w:r>
          </w:p>
        </w:tc>
        <w:tc>
          <w:tcPr>
            <w:tcW w:w="2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20,509,462</w:t>
            </w:r>
          </w:p>
        </w:tc>
        <w:tc>
          <w:tcPr>
            <w:tcW w:w="21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954,941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2,507,946</w:t>
            </w:r>
          </w:p>
        </w:tc>
      </w:tr>
    </w:tbl>
    <w:p>
      <w:pPr>
        <w:spacing w:after="0" w:line="200" w:lineRule="exact"/>
        <w:rPr>
          <w:sz w:val="20"/>
          <w:szCs w:val="20"/>
          <w:color w:val="auto"/>
        </w:rPr>
      </w:pP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previously disclosed, Dr. Roy Schoenberg did not stand for re-election. Votes cast on the proposal regarding Dr. Roy Schoenberg’s re-election were not counted.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Ratifying the Appointment of the Independent Registered Public Accounting Firm</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PricewaterhouseCoopers LLP as the Company’s independent registered public accounting firm for the fiscal year ending December 31, 2026. The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10"/>
        </w:trPr>
        <w:tc>
          <w:tcPr>
            <w:tcW w:w="24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23,945,239</w:t>
            </w:r>
          </w:p>
        </w:tc>
        <w:tc>
          <w:tcPr>
            <w:tcW w:w="25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27,110</w:t>
            </w:r>
          </w:p>
        </w:tc>
        <w:tc>
          <w:tcPr>
            <w:tcW w:w="25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 Advisory Vote on Named Executive Officer Compensation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approved, by a non-binding advisory vote, the compensation paid to the company’s named executive officers, as disclosed in the Executive Compensation section and the related compensation tables and narrative disclosure in the proxy statement. The voting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20" w:type="dxa"/>
            <w:vAlign w:val="bottom"/>
            <w:gridSpan w:val="2"/>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6220" w:type="dxa"/>
            <w:vAlign w:val="bottom"/>
            <w:gridSpan w:val="2"/>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09"/>
        </w:trPr>
        <w:tc>
          <w:tcPr>
            <w:tcW w:w="25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21,137,741</w:t>
            </w:r>
          </w:p>
        </w:tc>
        <w:tc>
          <w:tcPr>
            <w:tcW w:w="252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326,662</w:t>
            </w:r>
          </w:p>
        </w:tc>
        <w:tc>
          <w:tcPr>
            <w:tcW w:w="240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2,507,946</w:t>
            </w:r>
          </w:p>
        </w:tc>
        <w:tc>
          <w:tcPr>
            <w:tcW w:w="3820" w:type="dxa"/>
            <w:vAlign w:val="bottom"/>
          </w:tcPr>
          <w:p>
            <w:pPr>
              <w:spacing w:after="0"/>
              <w:rPr>
                <w:sz w:val="18"/>
                <w:szCs w:val="18"/>
                <w:color w:val="auto"/>
              </w:rPr>
            </w:pPr>
          </w:p>
        </w:tc>
      </w:tr>
      <w:tr>
        <w:trPr>
          <w:trHeight w:val="979"/>
        </w:trPr>
        <w:tc>
          <w:tcPr>
            <w:tcW w:w="2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AMERICAN WELL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Anna Nesterova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Anna Nesterova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Deputy General Counsel, Head of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2026-06-22T16:15:49Z</dcterms:created>
  <dcterms:modified xsi:type="dcterms:W3CDTF">2026-06-22T16:15:49Z</dcterms:modified>
</cp:coreProperties>
</file>