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McNeice Paul Francis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WELL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 STATE STREET, STE.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Well Corp</w:t>
              </w:r>
            </w:hyperlink>
            <w:r>
              <w:rPr/>
              <w:t xml:space="preserve"> [ </w:t>
            </w:r>
            <w:r>
              <w:rPr>
                <w:rFonts w:ascii="Times;serif" w:hAnsi="Times;serif"/>
                <w:color w:val="0000FF"/>
                <w:sz w:val="24"/>
                <w:shd w:fill="FFFFFF" w:val="clear"/>
              </w:rPr>
              <w:t>AMWL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653</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9.33</w:t>
            </w:r>
            <w:r>
              <w:rPr/>
              <w:t xml:space="preserve"> </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9,851</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made in order to pay the tax liability arising from the vesting and settlement of restricted stock units on July 1, 2026. The sales were effected through and automatic "sell to cover" transaction that did not represent a discretionary trade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Anna Nesterova as attorney-in-fact for Paul McNeice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4025" TargetMode="External"/><Relationship Id="rId5" Type="http://schemas.openxmlformats.org/officeDocument/2006/relationships/hyperlink" Target="http://www.sec.gov/cgi-bin/browse-edgar?action=getcompany&amp;CIK=00013935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3356</Characters>
  <CharactersWithSpaces>3920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